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20" w:lineRule="exact"/>
        <w:jc w:val="center"/>
        <w:rPr>
          <w:rFonts w:hint="eastAsia"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sz w:val="44"/>
          <w:szCs w:val="44"/>
        </w:rPr>
        <w:t>温州市百万市场主体挖潜拓市工作方案</w:t>
      </w:r>
    </w:p>
    <w:bookmarkEnd w:id="0"/>
    <w:p>
      <w:pPr>
        <w:adjustRightInd w:val="0"/>
        <w:snapToGrid w:val="0"/>
        <w:spacing w:line="600" w:lineRule="exact"/>
        <w:ind w:firstLine="640" w:firstLineChars="200"/>
        <w:rPr>
          <w:rFonts w:ascii="仿宋_GB2312" w:hAnsi="仿宋" w:eastAsia="仿宋_GB2312" w:cs="仿宋"/>
          <w:color w:val="000000"/>
          <w:kern w:val="0"/>
          <w:sz w:val="32"/>
          <w:szCs w:val="32"/>
        </w:rPr>
      </w:pPr>
    </w:p>
    <w:p>
      <w:pPr>
        <w:adjustRightInd w:val="0"/>
        <w:snapToGrid w:val="0"/>
        <w:spacing w:line="600" w:lineRule="exact"/>
        <w:ind w:firstLine="640" w:firstLineChars="200"/>
        <w:rPr>
          <w:rFonts w:ascii="仿宋_GB2312" w:eastAsia="仿宋_GB2312"/>
          <w:color w:val="333333"/>
          <w:sz w:val="32"/>
          <w:szCs w:val="32"/>
        </w:rPr>
      </w:pPr>
      <w:r>
        <w:rPr>
          <w:rFonts w:hint="eastAsia" w:ascii="仿宋_GB2312" w:hAnsi="仿宋" w:eastAsia="仿宋_GB2312" w:cs="仿宋"/>
          <w:color w:val="000000"/>
          <w:kern w:val="0"/>
          <w:sz w:val="32"/>
          <w:szCs w:val="32"/>
        </w:rPr>
        <w:t>为</w:t>
      </w:r>
      <w:r>
        <w:rPr>
          <w:rFonts w:hint="eastAsia" w:ascii="仿宋_GB2312" w:eastAsia="仿宋_GB2312"/>
          <w:color w:val="000000"/>
          <w:sz w:val="32"/>
          <w:szCs w:val="32"/>
        </w:rPr>
        <w:t>扎实做好市场主体培育工作，优化</w:t>
      </w:r>
      <w:r>
        <w:rPr>
          <w:rFonts w:ascii="仿宋_GB2312" w:eastAsia="仿宋_GB2312"/>
          <w:color w:val="000000"/>
          <w:sz w:val="32"/>
          <w:szCs w:val="32"/>
        </w:rPr>
        <w:t>温州市场主体</w:t>
      </w:r>
      <w:r>
        <w:rPr>
          <w:rFonts w:hint="eastAsia" w:ascii="仿宋_GB2312" w:eastAsia="仿宋_GB2312"/>
          <w:color w:val="000000"/>
          <w:sz w:val="32"/>
          <w:szCs w:val="32"/>
        </w:rPr>
        <w:t>结构</w:t>
      </w:r>
      <w:r>
        <w:rPr>
          <w:rFonts w:ascii="仿宋_GB2312" w:eastAsia="仿宋_GB2312"/>
          <w:color w:val="000000"/>
          <w:sz w:val="32"/>
          <w:szCs w:val="32"/>
        </w:rPr>
        <w:t>，</w:t>
      </w:r>
      <w:r>
        <w:rPr>
          <w:rFonts w:hint="eastAsia" w:ascii="仿宋_GB2312" w:eastAsia="仿宋_GB2312"/>
          <w:color w:val="000000"/>
          <w:sz w:val="32"/>
          <w:szCs w:val="32"/>
        </w:rPr>
        <w:t>助力</w:t>
      </w:r>
      <w:r>
        <w:rPr>
          <w:rFonts w:ascii="仿宋_GB2312" w:eastAsia="仿宋_GB2312"/>
          <w:color w:val="000000"/>
          <w:sz w:val="32"/>
          <w:szCs w:val="32"/>
        </w:rPr>
        <w:t>打造一流营商环境</w:t>
      </w:r>
      <w:r>
        <w:rPr>
          <w:rFonts w:hint="eastAsia" w:ascii="仿宋_GB2312" w:eastAsia="仿宋_GB2312"/>
          <w:color w:val="000000"/>
          <w:sz w:val="32"/>
          <w:szCs w:val="32"/>
        </w:rPr>
        <w:t>，</w:t>
      </w:r>
      <w:r>
        <w:rPr>
          <w:rFonts w:ascii="仿宋_GB2312" w:eastAsia="仿宋_GB2312"/>
          <w:color w:val="000000"/>
          <w:sz w:val="32"/>
          <w:szCs w:val="32"/>
        </w:rPr>
        <w:t>建设全国民营经济示范城市</w:t>
      </w:r>
      <w:r>
        <w:rPr>
          <w:rFonts w:hint="eastAsia" w:ascii="仿宋_GB2312" w:eastAsia="仿宋_GB2312"/>
          <w:color w:val="000000"/>
          <w:sz w:val="32"/>
          <w:szCs w:val="32"/>
        </w:rPr>
        <w:t>，根据省、</w:t>
      </w:r>
      <w:r>
        <w:rPr>
          <w:rFonts w:hint="eastAsia" w:ascii="仿宋_GB2312" w:hAnsi="仿宋" w:eastAsia="仿宋_GB2312" w:cs="仿宋"/>
          <w:color w:val="000000"/>
          <w:kern w:val="0"/>
          <w:sz w:val="32"/>
          <w:szCs w:val="32"/>
        </w:rPr>
        <w:t>市有关文件精神，结合温州实际，特</w:t>
      </w:r>
      <w:r>
        <w:rPr>
          <w:rFonts w:hint="eastAsia" w:ascii="仿宋_GB2312" w:eastAsia="仿宋_GB2312"/>
          <w:color w:val="333333"/>
          <w:sz w:val="32"/>
          <w:szCs w:val="32"/>
        </w:rPr>
        <w:t>制定本方案。</w:t>
      </w:r>
    </w:p>
    <w:p>
      <w:pPr>
        <w:adjustRightInd w:val="0"/>
        <w:snapToGrid w:val="0"/>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w:t>
      </w:r>
      <w:r>
        <w:rPr>
          <w:rFonts w:ascii="黑体" w:hAnsi="黑体" w:eastAsia="黑体"/>
          <w:color w:val="000000"/>
          <w:sz w:val="32"/>
          <w:szCs w:val="32"/>
        </w:rPr>
        <w:t>、</w:t>
      </w:r>
      <w:r>
        <w:rPr>
          <w:rFonts w:hint="eastAsia" w:ascii="黑体" w:hAnsi="黑体" w:eastAsia="黑体"/>
          <w:color w:val="000000"/>
          <w:sz w:val="32"/>
          <w:szCs w:val="32"/>
        </w:rPr>
        <w:t>工作目标</w:t>
      </w:r>
    </w:p>
    <w:p>
      <w:pPr>
        <w:adjustRightInd w:val="0"/>
        <w:snapToGrid w:val="0"/>
        <w:spacing w:line="600" w:lineRule="exact"/>
        <w:ind w:firstLine="640" w:firstLineChars="200"/>
        <w:rPr>
          <w:rFonts w:ascii="仿宋_GB2312" w:eastAsia="仿宋_GB2312"/>
          <w:color w:val="333333"/>
          <w:sz w:val="32"/>
          <w:szCs w:val="32"/>
        </w:rPr>
      </w:pPr>
      <w:r>
        <w:rPr>
          <w:rFonts w:hint="eastAsia" w:ascii="仿宋_GB2312" w:hAnsi="仿宋_GB2312" w:eastAsia="仿宋_GB2312" w:cs="仿宋_GB2312"/>
          <w:kern w:val="0"/>
          <w:sz w:val="32"/>
          <w:szCs w:val="32"/>
        </w:rPr>
        <w:t>对标奋力打造“重要窗口”目标定位，以数字化改革为牵引，</w:t>
      </w:r>
      <w:r>
        <w:rPr>
          <w:rFonts w:hint="eastAsia" w:ascii="仿宋_GB2312" w:hAnsi="楷体_GB2312" w:eastAsia="仿宋_GB2312" w:cs="楷体_GB2312"/>
          <w:bCs/>
          <w:sz w:val="32"/>
          <w:szCs w:val="32"/>
        </w:rPr>
        <w:t>以群众和企业需求为导向，</w:t>
      </w:r>
      <w:r>
        <w:rPr>
          <w:rFonts w:hint="eastAsia" w:ascii="仿宋_GB2312" w:hAnsi="仿宋_GB2312" w:eastAsia="仿宋_GB2312" w:cs="仿宋_GB2312"/>
          <w:kern w:val="0"/>
          <w:sz w:val="32"/>
          <w:szCs w:val="32"/>
        </w:rPr>
        <w:t>进一步深化商事制度改革，创新和落实市场主体减税降费政策，降低市场主体准入和经营制度成本，提高</w:t>
      </w:r>
      <w:r>
        <w:rPr>
          <w:rFonts w:ascii="仿宋_GB2312" w:hAnsi="仿宋_GB2312" w:eastAsia="仿宋_GB2312" w:cs="仿宋_GB2312"/>
          <w:kern w:val="0"/>
          <w:sz w:val="32"/>
          <w:szCs w:val="32"/>
        </w:rPr>
        <w:t>生存和发展能力，</w:t>
      </w:r>
      <w:r>
        <w:rPr>
          <w:rFonts w:hint="eastAsia" w:ascii="仿宋_GB2312" w:hAnsi="仿宋_GB2312" w:eastAsia="仿宋_GB2312" w:cs="仿宋_GB2312"/>
          <w:kern w:val="0"/>
          <w:sz w:val="32"/>
          <w:szCs w:val="32"/>
        </w:rPr>
        <w:t>稳住基本盘，打好主动仗，全力推动我市</w:t>
      </w:r>
      <w:r>
        <w:rPr>
          <w:rFonts w:ascii="仿宋_GB2312" w:hAnsi="仿宋_GB2312" w:eastAsia="仿宋_GB2312" w:cs="仿宋_GB2312"/>
          <w:kern w:val="0"/>
          <w:sz w:val="32"/>
          <w:szCs w:val="32"/>
        </w:rPr>
        <w:t>市场主体健康发展</w:t>
      </w:r>
      <w:r>
        <w:rPr>
          <w:rFonts w:hint="eastAsia" w:ascii="仿宋_GB2312" w:hAnsi="仿宋_GB2312" w:eastAsia="仿宋_GB2312" w:cs="仿宋_GB2312"/>
          <w:kern w:val="0"/>
          <w:sz w:val="32"/>
          <w:szCs w:val="32"/>
        </w:rPr>
        <w:t>。力争在20</w:t>
      </w:r>
      <w:r>
        <w:rPr>
          <w:rFonts w:ascii="仿宋_GB2312" w:hAnsi="仿宋_GB2312" w:eastAsia="仿宋_GB2312" w:cs="仿宋_GB2312"/>
          <w:kern w:val="0"/>
          <w:sz w:val="32"/>
          <w:szCs w:val="32"/>
        </w:rPr>
        <w:t>21</w:t>
      </w:r>
      <w:r>
        <w:rPr>
          <w:rFonts w:hint="eastAsia" w:ascii="仿宋_GB2312" w:hAnsi="仿宋_GB2312" w:eastAsia="仿宋_GB2312" w:cs="仿宋_GB2312"/>
          <w:kern w:val="0"/>
          <w:sz w:val="32"/>
          <w:szCs w:val="32"/>
        </w:rPr>
        <w:t>年底前，实现市场主体总量突破1</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3万，企业占市场主体比重提升到33%以上。公司制企业占比实现新突破，达到90%以上，为</w:t>
      </w:r>
      <w:r>
        <w:rPr>
          <w:rFonts w:ascii="仿宋_GB2312" w:hAnsi="仿宋_GB2312" w:eastAsia="仿宋_GB2312" w:cs="仿宋_GB2312"/>
          <w:kern w:val="0"/>
          <w:sz w:val="32"/>
          <w:szCs w:val="32"/>
        </w:rPr>
        <w:t>打造</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审批事项最少、办事效率最高、</w:t>
      </w:r>
      <w:r>
        <w:rPr>
          <w:rFonts w:hint="eastAsia" w:ascii="仿宋_GB2312" w:hAnsi="仿宋_GB2312" w:eastAsia="仿宋_GB2312" w:cs="仿宋_GB2312"/>
          <w:kern w:val="0"/>
          <w:sz w:val="32"/>
          <w:szCs w:val="32"/>
        </w:rPr>
        <w:t>营商</w:t>
      </w:r>
      <w:r>
        <w:rPr>
          <w:rFonts w:ascii="仿宋_GB2312" w:hAnsi="仿宋_GB2312" w:eastAsia="仿宋_GB2312" w:cs="仿宋_GB2312"/>
          <w:kern w:val="0"/>
          <w:sz w:val="32"/>
          <w:szCs w:val="32"/>
        </w:rPr>
        <w:t>环境最优市</w:t>
      </w:r>
      <w:r>
        <w:rPr>
          <w:rFonts w:hint="eastAsia" w:ascii="仿宋_GB2312" w:hAnsi="仿宋_GB2312" w:eastAsia="仿宋_GB2312" w:cs="仿宋_GB2312"/>
          <w:kern w:val="0"/>
          <w:sz w:val="32"/>
          <w:szCs w:val="32"/>
        </w:rPr>
        <w:t>”作出</w:t>
      </w:r>
      <w:r>
        <w:rPr>
          <w:rFonts w:ascii="仿宋_GB2312" w:hAnsi="仿宋_GB2312" w:eastAsia="仿宋_GB2312" w:cs="仿宋_GB2312"/>
          <w:kern w:val="0"/>
          <w:sz w:val="32"/>
          <w:szCs w:val="32"/>
        </w:rPr>
        <w:t>贡献</w:t>
      </w:r>
      <w:r>
        <w:rPr>
          <w:rFonts w:hint="eastAsia" w:ascii="仿宋_GB2312" w:hAnsi="仿宋_GB2312" w:eastAsia="仿宋_GB2312" w:cs="仿宋_GB2312"/>
          <w:kern w:val="0"/>
          <w:sz w:val="32"/>
          <w:szCs w:val="32"/>
        </w:rPr>
        <w:t>。</w:t>
      </w:r>
    </w:p>
    <w:p>
      <w:pPr>
        <w:adjustRightInd w:val="0"/>
        <w:snapToGrid w:val="0"/>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二、基本原则</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坚持制度创新。持续深化商事登记制度改革，以主体自治撬动登记制度创新，以系统集成提升改革张力，进一步推进政府职能转变和简政放权，稳步有序放开市场准入，以体制机制创新激发市场主体活力和创造力。</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——坚持科学发展。统筹全市各类市场主体发展，以高质量发展为引领，“激发增量、做大总量、提高质量”为目标，充分调动各方面积极性，不断优化市场主体结构。</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——坚持市场导向。遵循市场主体发展规律，充分尊重商事主体进退选择权，综合运用财税、金融、产业等政策手段，激发存量主体活力。</w:t>
      </w:r>
    </w:p>
    <w:p>
      <w:pPr>
        <w:adjustRightInd w:val="0"/>
        <w:snapToGrid w:val="0"/>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w:t>
      </w:r>
      <w:r>
        <w:rPr>
          <w:rFonts w:ascii="黑体" w:hAnsi="黑体" w:eastAsia="黑体"/>
          <w:color w:val="000000"/>
          <w:sz w:val="32"/>
          <w:szCs w:val="32"/>
        </w:rPr>
        <w:t>、</w:t>
      </w:r>
      <w:r>
        <w:rPr>
          <w:rFonts w:hint="eastAsia" w:ascii="黑体" w:hAnsi="黑体" w:eastAsia="黑体"/>
          <w:color w:val="000000"/>
          <w:sz w:val="32"/>
          <w:szCs w:val="32"/>
        </w:rPr>
        <w:t>工作举措</w:t>
      </w:r>
    </w:p>
    <w:p>
      <w:pPr>
        <w:adjustRightInd w:val="0"/>
        <w:snapToGrid w:val="0"/>
        <w:spacing w:line="600" w:lineRule="exact"/>
        <w:ind w:firstLine="640" w:firstLineChars="200"/>
        <w:rPr>
          <w:rFonts w:ascii="楷体_GB2312" w:hAnsi="仿宋_GB2312" w:eastAsia="楷体_GB2312" w:cs="仿宋_GB2312"/>
          <w:bCs/>
          <w:kern w:val="0"/>
          <w:sz w:val="32"/>
          <w:szCs w:val="32"/>
        </w:rPr>
      </w:pPr>
      <w:r>
        <w:rPr>
          <w:rFonts w:hint="eastAsia" w:ascii="楷体_GB2312" w:hAnsi="仿宋_GB2312" w:eastAsia="楷体_GB2312" w:cs="仿宋_GB2312"/>
          <w:bCs/>
          <w:kern w:val="0"/>
          <w:sz w:val="32"/>
          <w:szCs w:val="32"/>
        </w:rPr>
        <w:t>（一）强化数字赋能，激发市场主体新活力。</w:t>
      </w:r>
    </w:p>
    <w:p>
      <w:pPr>
        <w:adjustRightInd w:val="0"/>
        <w:snapToGrid w:val="0"/>
        <w:spacing w:line="600" w:lineRule="exact"/>
        <w:ind w:firstLine="640" w:firstLineChars="200"/>
        <w:rPr>
          <w:rFonts w:ascii="仿宋_GB2312" w:hAnsi="宋体" w:eastAsia="仿宋_GB2312"/>
          <w:kern w:val="0"/>
          <w:sz w:val="32"/>
          <w:szCs w:val="32"/>
        </w:rPr>
      </w:pPr>
      <w:r>
        <w:rPr>
          <w:rFonts w:hint="eastAsia" w:ascii="仿宋_GB2312" w:hAnsi="仿宋_GB2312" w:eastAsia="仿宋_GB2312" w:cs="仿宋_GB2312"/>
          <w:b/>
          <w:bCs/>
          <w:kern w:val="0"/>
          <w:sz w:val="32"/>
          <w:szCs w:val="32"/>
        </w:rPr>
        <w:t>1.推广电子证照跨领域多维应用。</w:t>
      </w:r>
      <w:r>
        <w:rPr>
          <w:rFonts w:hint="eastAsia" w:ascii="仿宋_GB2312" w:hAnsi="仿宋_GB2312" w:eastAsia="仿宋_GB2312" w:cs="仿宋_GB2312"/>
          <w:sz w:val="32"/>
          <w:szCs w:val="32"/>
        </w:rPr>
        <w:t>开展“</w:t>
      </w:r>
      <w:r>
        <w:rPr>
          <w:rFonts w:hint="eastAsia" w:ascii="仿宋_GB2312" w:eastAsia="仿宋_GB2312"/>
          <w:sz w:val="32"/>
          <w:szCs w:val="32"/>
        </w:rPr>
        <w:t>电子营业执照+电子证照信息”应用试点</w:t>
      </w:r>
      <w:r>
        <w:rPr>
          <w:rFonts w:hint="eastAsia" w:ascii="仿宋_GB2312" w:hAnsi="仿宋_GB2312" w:eastAsia="仿宋_GB2312" w:cs="仿宋_GB2312"/>
          <w:sz w:val="32"/>
          <w:szCs w:val="32"/>
        </w:rPr>
        <w:t>，实行“自行下载、自行领取、自行应用”。改革申领途径，市场主体确认登记后，即可在“浙里办”平台</w:t>
      </w:r>
      <w:r>
        <w:rPr>
          <w:rFonts w:hint="eastAsia" w:ascii="仿宋_GB2312" w:hAnsi="仿宋" w:eastAsia="仿宋_GB2312"/>
          <w:sz w:val="32"/>
          <w:szCs w:val="32"/>
        </w:rPr>
        <w:t>自行下载申领电子营业执照和电子印章。</w:t>
      </w:r>
      <w:r>
        <w:rPr>
          <w:rFonts w:hint="eastAsia" w:ascii="仿宋_GB2312" w:eastAsia="仿宋_GB2312"/>
          <w:sz w:val="32"/>
          <w:szCs w:val="32"/>
        </w:rPr>
        <w:t>强化数字赋能，推动电子营业执照取代纸质营业执照和实体印章，大力拓宽电子证照跨领域应用场景，作为市场主体办理银行开户、贷款审批、纳税申报等服务业务身份确认的有效载体，为市场主体“身份信息认证</w:t>
      </w:r>
      <w:r>
        <w:rPr>
          <w:rFonts w:ascii="仿宋_GB2312" w:eastAsia="仿宋_GB2312"/>
          <w:sz w:val="32"/>
          <w:szCs w:val="32"/>
        </w:rPr>
        <w:t>+</w:t>
      </w:r>
      <w:r>
        <w:rPr>
          <w:rFonts w:hint="eastAsia" w:ascii="仿宋_GB2312" w:eastAsia="仿宋_GB2312"/>
          <w:sz w:val="32"/>
          <w:szCs w:val="32"/>
        </w:rPr>
        <w:t>能力信息展示”提供便捷渠道</w:t>
      </w:r>
      <w:r>
        <w:rPr>
          <w:rFonts w:hint="eastAsia" w:ascii="仿宋_GB2312" w:hAnsi="宋体" w:eastAsia="仿宋_GB2312"/>
          <w:kern w:val="0"/>
          <w:sz w:val="32"/>
          <w:szCs w:val="32"/>
        </w:rPr>
        <w:t>。</w:t>
      </w:r>
    </w:p>
    <w:p>
      <w:pPr>
        <w:adjustRightInd w:val="0"/>
        <w:snapToGrid w:val="0"/>
        <w:spacing w:line="600" w:lineRule="exact"/>
        <w:ind w:firstLine="640" w:firstLineChars="200"/>
        <w:rPr>
          <w:rFonts w:ascii="仿宋_GB2312" w:hAnsi="楷体_GB2312" w:eastAsia="仿宋_GB2312" w:cs="楷体_GB2312"/>
          <w:bCs/>
          <w:sz w:val="32"/>
          <w:szCs w:val="32"/>
        </w:rPr>
      </w:pPr>
      <w:r>
        <w:rPr>
          <w:rFonts w:hint="eastAsia" w:ascii="仿宋_GB2312" w:hAnsi="仿宋_GB2312" w:eastAsia="仿宋_GB2312" w:cs="仿宋_GB2312"/>
          <w:b/>
          <w:bCs/>
          <w:kern w:val="0"/>
          <w:sz w:val="32"/>
          <w:szCs w:val="32"/>
        </w:rPr>
        <w:t>2.优化以信用为核心的新型监管机制。</w:t>
      </w:r>
      <w:r>
        <w:rPr>
          <w:rFonts w:hint="eastAsia" w:ascii="仿宋_GB2312" w:hAnsi="楷体_GB2312" w:eastAsia="仿宋_GB2312" w:cs="楷体_GB2312"/>
          <w:bCs/>
          <w:sz w:val="32"/>
          <w:szCs w:val="32"/>
        </w:rPr>
        <w:t>坚持放管并重，充分运用大数据、人工智能、区块链等新技术，</w:t>
      </w:r>
      <w:r>
        <w:rPr>
          <w:rFonts w:hint="eastAsia" w:ascii="仿宋_GB2312" w:hAnsi="仿宋_GB2312" w:eastAsia="仿宋_GB2312" w:cs="仿宋_GB2312"/>
          <w:bCs/>
          <w:kern w:val="0"/>
          <w:sz w:val="32"/>
          <w:szCs w:val="32"/>
        </w:rPr>
        <w:t>完善事前信用核查</w:t>
      </w:r>
      <w:r>
        <w:rPr>
          <w:rFonts w:ascii="仿宋_GB2312" w:hAnsi="仿宋_GB2312" w:eastAsia="仿宋_GB2312" w:cs="仿宋_GB2312"/>
          <w:bCs/>
          <w:kern w:val="0"/>
          <w:sz w:val="32"/>
          <w:szCs w:val="32"/>
        </w:rPr>
        <w:t>+信用承诺、事中信用风险监测预警+分级分类监管、事后联合奖惩+信用修复，构建“互联网＋监管＋信用”体系，形成贯穿市场主体从准入到退出全生命周期综合监管闭环。</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3.</w:t>
      </w:r>
      <w:r>
        <w:rPr>
          <w:rFonts w:ascii="仿宋_GB2312" w:hAnsi="仿宋_GB2312" w:eastAsia="仿宋_GB2312" w:cs="仿宋_GB2312"/>
          <w:b/>
          <w:bCs/>
          <w:kern w:val="0"/>
          <w:sz w:val="32"/>
          <w:szCs w:val="32"/>
        </w:rPr>
        <w:t>迭代升级“证照分离”</w:t>
      </w:r>
      <w:r>
        <w:rPr>
          <w:rFonts w:hint="eastAsia" w:ascii="仿宋_GB2312" w:hAnsi="仿宋_GB2312" w:eastAsia="仿宋_GB2312" w:cs="仿宋_GB2312"/>
          <w:b/>
          <w:bCs/>
          <w:kern w:val="0"/>
          <w:sz w:val="32"/>
          <w:szCs w:val="32"/>
        </w:rPr>
        <w:t>集成应用</w:t>
      </w:r>
      <w:r>
        <w:rPr>
          <w:rFonts w:ascii="仿宋_GB2312" w:hAnsi="仿宋_GB2312" w:eastAsia="仿宋_GB2312" w:cs="仿宋_GB2312"/>
          <w:b/>
          <w:bCs/>
          <w:kern w:val="0"/>
          <w:sz w:val="32"/>
          <w:szCs w:val="32"/>
        </w:rPr>
        <w:t>。</w:t>
      </w:r>
      <w:r>
        <w:rPr>
          <w:rFonts w:ascii="仿宋_GB2312" w:hAnsi="仿宋_GB2312" w:eastAsia="仿宋_GB2312" w:cs="仿宋_GB2312"/>
          <w:sz w:val="32"/>
          <w:szCs w:val="32"/>
        </w:rPr>
        <w:t>按照国务院涉企经营许可事项调整清单，进一步加大取消审批和审批改备案力度，精简重复类审批，取消不必要的审批。</w:t>
      </w:r>
      <w:r>
        <w:rPr>
          <w:rFonts w:hint="eastAsia" w:ascii="仿宋_GB2312" w:hAnsi="仿宋_GB2312" w:eastAsia="仿宋_GB2312" w:cs="仿宋_GB2312"/>
          <w:sz w:val="32"/>
          <w:szCs w:val="32"/>
        </w:rPr>
        <w:t>持续推动告知承诺数量取得更大突破</w:t>
      </w:r>
      <w:r>
        <w:rPr>
          <w:rFonts w:ascii="仿宋_GB2312" w:hAnsi="仿宋_GB2312" w:eastAsia="仿宋_GB2312" w:cs="仿宋_GB2312"/>
          <w:sz w:val="32"/>
          <w:szCs w:val="32"/>
        </w:rPr>
        <w:t>，力争达到150项以上；同时，</w:t>
      </w:r>
      <w:r>
        <w:rPr>
          <w:rFonts w:hint="eastAsia" w:ascii="仿宋_GB2312" w:hAnsi="仿宋_GB2312" w:eastAsia="仿宋_GB2312" w:cs="仿宋_GB2312"/>
          <w:sz w:val="32"/>
          <w:szCs w:val="32"/>
        </w:rPr>
        <w:t>积极向上对接，</w:t>
      </w:r>
      <w:r>
        <w:rPr>
          <w:rFonts w:ascii="仿宋_GB2312" w:hAnsi="仿宋_GB2312" w:eastAsia="仿宋_GB2312" w:cs="仿宋_GB2312"/>
          <w:sz w:val="32"/>
          <w:szCs w:val="32"/>
        </w:rPr>
        <w:t>推动相关部门完成审批系统升级改造，提升告知承诺网办率，打造极简审批。完成“证照分离”协同平台建设，贯通注册登记、行政许可、监督检查、行政处罚各节点数据，实现数据精准推送、实时下发、及时反馈，形成管理闭环。</w:t>
      </w:r>
    </w:p>
    <w:p>
      <w:pPr>
        <w:adjustRightInd w:val="0"/>
        <w:snapToGrid w:val="0"/>
        <w:spacing w:line="600" w:lineRule="exact"/>
        <w:ind w:firstLine="640" w:firstLineChars="200"/>
        <w:rPr>
          <w:rFonts w:ascii="楷体_GB2312" w:hAnsi="仿宋_GB2312" w:eastAsia="楷体_GB2312" w:cs="仿宋_GB2312"/>
          <w:bCs/>
          <w:kern w:val="0"/>
          <w:sz w:val="32"/>
          <w:szCs w:val="32"/>
        </w:rPr>
      </w:pPr>
      <w:r>
        <w:rPr>
          <w:rFonts w:hint="eastAsia" w:ascii="楷体_GB2312" w:hAnsi="仿宋_GB2312" w:eastAsia="楷体_GB2312" w:cs="仿宋_GB2312"/>
          <w:bCs/>
          <w:kern w:val="0"/>
          <w:sz w:val="32"/>
          <w:szCs w:val="32"/>
        </w:rPr>
        <w:t>（二）加大改革力度，提升市场主体满意度。</w:t>
      </w:r>
    </w:p>
    <w:p>
      <w:pPr>
        <w:adjustRightInd w:val="0"/>
        <w:snapToGrid w:val="0"/>
        <w:spacing w:line="600" w:lineRule="exact"/>
        <w:ind w:firstLine="640"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4.推行商事主体登记确认制改革。</w:t>
      </w:r>
      <w:r>
        <w:rPr>
          <w:rFonts w:hint="eastAsia" w:ascii="仿宋_GB2312" w:hAnsi="Arial" w:eastAsia="仿宋_GB2312" w:cs="宋体"/>
          <w:color w:val="000000"/>
          <w:kern w:val="0"/>
          <w:sz w:val="32"/>
          <w:szCs w:val="32"/>
        </w:rPr>
        <w:t>通过登记确认商事主体资格和一般经营资格，并予以公示，</w:t>
      </w:r>
      <w:r>
        <w:rPr>
          <w:rFonts w:hint="eastAsia" w:ascii="仿宋_GB2312" w:hAnsi="仿宋_GB2312" w:eastAsia="仿宋_GB2312" w:cs="仿宋_GB2312"/>
          <w:kern w:val="0"/>
          <w:sz w:val="32"/>
          <w:szCs w:val="32"/>
        </w:rPr>
        <w:t>加快形成标准公开、规则公平、预期明确、监管到位的商事制度改革新模式</w:t>
      </w:r>
      <w:r>
        <w:rPr>
          <w:rFonts w:hint="eastAsia" w:ascii="仿宋_GB2312" w:hAnsi="Arial" w:eastAsia="仿宋_GB2312" w:cs="宋体"/>
          <w:color w:val="000000"/>
          <w:kern w:val="0"/>
          <w:sz w:val="32"/>
          <w:szCs w:val="32"/>
        </w:rPr>
        <w:t>。</w:t>
      </w:r>
      <w:r>
        <w:rPr>
          <w:rFonts w:hint="eastAsia" w:ascii="仿宋_GB2312" w:hAnsi="仿宋_GB2312" w:eastAsia="仿宋_GB2312" w:cs="仿宋_GB2312"/>
          <w:sz w:val="32"/>
          <w:szCs w:val="32"/>
        </w:rPr>
        <w:t>推进“自主申报+信用承诺”模式在登记各场景应用，实现登记服务自主办理、名称自主申报、住所自主选址、经营范围自主选定、电子证照自主应用、主体迁移自主决定和退出方式自主选择，在全市范围内实现商事主体登记确认制全覆盖，最大程度赋予商事主体自主权。</w:t>
      </w:r>
    </w:p>
    <w:p>
      <w:pPr>
        <w:adjustRightInd w:val="0"/>
        <w:snapToGrid w:val="0"/>
        <w:spacing w:line="600" w:lineRule="exact"/>
        <w:ind w:firstLine="640" w:firstLineChars="200"/>
        <w:rPr>
          <w:rFonts w:ascii="等线" w:hAnsi="等线" w:eastAsia="仿宋_GB2312" w:cs="Times New Roman"/>
          <w:sz w:val="32"/>
          <w:szCs w:val="32"/>
        </w:rPr>
      </w:pPr>
      <w:r>
        <w:rPr>
          <w:rFonts w:hint="eastAsia" w:ascii="仿宋_GB2312" w:hAnsi="仿宋_GB2312" w:eastAsia="仿宋_GB2312" w:cs="仿宋_GB2312"/>
          <w:b/>
          <w:bCs/>
          <w:kern w:val="0"/>
          <w:sz w:val="32"/>
          <w:szCs w:val="32"/>
        </w:rPr>
        <w:t>5.深化“双定三减”</w:t>
      </w:r>
      <w:r>
        <w:rPr>
          <w:rFonts w:ascii="仿宋_GB2312" w:hAnsi="仿宋_GB2312" w:eastAsia="仿宋_GB2312" w:cs="仿宋_GB2312"/>
          <w:b/>
          <w:bCs/>
          <w:kern w:val="0"/>
          <w:sz w:val="32"/>
          <w:szCs w:val="32"/>
        </w:rPr>
        <w:t>自由经营</w:t>
      </w:r>
      <w:r>
        <w:rPr>
          <w:rFonts w:hint="eastAsia" w:ascii="仿宋_GB2312" w:hAnsi="仿宋_GB2312" w:eastAsia="仿宋_GB2312" w:cs="仿宋_GB2312"/>
          <w:b/>
          <w:bCs/>
          <w:kern w:val="0"/>
          <w:sz w:val="32"/>
          <w:szCs w:val="32"/>
        </w:rPr>
        <w:t>。</w:t>
      </w:r>
      <w:r>
        <w:rPr>
          <w:rFonts w:hint="eastAsia" w:ascii="等线" w:hAnsi="等线" w:eastAsia="仿宋_GB2312" w:cs="Times New Roman"/>
          <w:sz w:val="32"/>
          <w:szCs w:val="32"/>
        </w:rPr>
        <w:t>围绕激发大众创业创新活力，深化特定领域</w:t>
      </w:r>
      <w:r>
        <w:rPr>
          <w:rFonts w:ascii="等线" w:hAnsi="等线" w:eastAsia="仿宋_GB2312" w:cs="Times New Roman"/>
          <w:sz w:val="32"/>
          <w:szCs w:val="32"/>
        </w:rPr>
        <w:t>低门槛</w:t>
      </w:r>
      <w:r>
        <w:rPr>
          <w:rFonts w:hint="eastAsia" w:eastAsia="仿宋_GB2312"/>
          <w:sz w:val="32"/>
          <w:szCs w:val="32"/>
        </w:rPr>
        <w:t>“</w:t>
      </w:r>
      <w:r>
        <w:rPr>
          <w:rFonts w:ascii="等线" w:hAnsi="等线" w:eastAsia="仿宋_GB2312" w:cs="Times New Roman"/>
          <w:sz w:val="32"/>
          <w:szCs w:val="32"/>
        </w:rPr>
        <w:t>自由经营</w:t>
      </w:r>
      <w:r>
        <w:rPr>
          <w:rFonts w:hint="eastAsia" w:eastAsia="仿宋_GB2312"/>
          <w:sz w:val="32"/>
          <w:szCs w:val="32"/>
        </w:rPr>
        <w:t>”</w:t>
      </w:r>
      <w:r>
        <w:rPr>
          <w:rFonts w:hint="eastAsia" w:ascii="等线" w:hAnsi="等线" w:eastAsia="仿宋_GB2312" w:cs="Times New Roman"/>
          <w:sz w:val="32"/>
          <w:szCs w:val="32"/>
        </w:rPr>
        <w:t>，</w:t>
      </w:r>
      <w:r>
        <w:rPr>
          <w:rFonts w:ascii="等线" w:hAnsi="等线" w:eastAsia="仿宋_GB2312" w:cs="Times New Roman"/>
          <w:sz w:val="32"/>
          <w:szCs w:val="32"/>
        </w:rPr>
        <w:t>对传统手工艺、时尚创意、新兴科技、特色餐饮、地方特产、文艺表演、网红商铺、便民服务等八大类行业，在指定时间和范围内开展的经营活动，</w:t>
      </w:r>
      <w:r>
        <w:rPr>
          <w:rFonts w:hint="eastAsia" w:ascii="等线" w:hAnsi="等线" w:eastAsia="仿宋_GB2312" w:cs="Times New Roman"/>
          <w:sz w:val="32"/>
          <w:szCs w:val="32"/>
        </w:rPr>
        <w:t>推行住所登记承诺制（即办制）、个体户口头申报、个体工商户营业转让等简易登记模式</w:t>
      </w:r>
      <w:r>
        <w:rPr>
          <w:rFonts w:ascii="等线" w:hAnsi="等线" w:eastAsia="仿宋_GB2312" w:cs="Times New Roman"/>
          <w:sz w:val="32"/>
          <w:szCs w:val="32"/>
        </w:rPr>
        <w:t>，</w:t>
      </w:r>
      <w:r>
        <w:rPr>
          <w:rFonts w:hint="eastAsia" w:ascii="等线" w:hAnsi="等线" w:eastAsia="仿宋_GB2312" w:cs="Times New Roman"/>
          <w:sz w:val="32"/>
          <w:szCs w:val="32"/>
        </w:rPr>
        <w:t>实现减材料、减时间、减流程，通过最大限度下放登记许可权限。完善实行包容审慎的“双随机”监管模式。</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6.推行企业市域内自由迁移。</w:t>
      </w:r>
      <w:r>
        <w:rPr>
          <w:rFonts w:hint="eastAsia" w:ascii="仿宋_GB2312" w:hAnsi="仿宋_GB2312" w:eastAsia="仿宋_GB2312" w:cs="仿宋_GB2312"/>
          <w:sz w:val="32"/>
          <w:szCs w:val="32"/>
        </w:rPr>
        <w:t>充分尊重企业迁移意愿，实行企业“自由迁移、自主办理”。取消迁移限制，</w:t>
      </w:r>
      <w:r>
        <w:rPr>
          <w:rFonts w:hint="eastAsia" w:ascii="Times New Roman" w:hAnsi="Times New Roman" w:eastAsia="仿宋_GB2312" w:cs="仿宋_GB2312"/>
          <w:bCs/>
          <w:sz w:val="32"/>
          <w:szCs w:val="32"/>
        </w:rPr>
        <w:t>有效</w:t>
      </w:r>
      <w:r>
        <w:rPr>
          <w:rFonts w:hint="eastAsia" w:ascii="Times New Roman" w:hAnsi="Times New Roman" w:eastAsia="仿宋_GB2312" w:cs="仿宋_GB2312"/>
          <w:bCs/>
          <w:color w:val="000000"/>
          <w:kern w:val="0"/>
          <w:sz w:val="32"/>
          <w:szCs w:val="32"/>
        </w:rPr>
        <w:t>破除区域分割和地方保护，</w:t>
      </w:r>
      <w:r>
        <w:rPr>
          <w:rFonts w:hint="eastAsia" w:ascii="仿宋_GB2312" w:hAnsi="仿宋_GB2312" w:eastAsia="仿宋_GB2312" w:cs="仿宋_GB2312"/>
          <w:sz w:val="32"/>
          <w:szCs w:val="32"/>
        </w:rPr>
        <w:t>对企业的迁移申请，</w:t>
      </w:r>
      <w:r>
        <w:rPr>
          <w:rFonts w:hint="eastAsia" w:ascii="仿宋_GB2312" w:hAnsi="仿宋" w:eastAsia="仿宋_GB2312" w:cs="仿宋"/>
          <w:color w:val="000000"/>
          <w:kern w:val="0"/>
          <w:sz w:val="32"/>
          <w:szCs w:val="32"/>
        </w:rPr>
        <w:t>相关部门不得设置政策障碍，应当依法及时办理。</w:t>
      </w:r>
      <w:r>
        <w:rPr>
          <w:rFonts w:hint="eastAsia" w:ascii="仿宋_GB2312" w:hAnsi="仿宋_GB2312" w:eastAsia="仿宋_GB2312" w:cs="仿宋_GB2312"/>
          <w:sz w:val="32"/>
          <w:szCs w:val="32"/>
        </w:rPr>
        <w:t>简化迁移手续，推进企业市域内迁移全流程网上办理，变改革前企业跨区域迁移变更登记“两地三趟跑”为线上“零跑动”和线下“最多跑一次、跑一地”。</w:t>
      </w:r>
      <w:r>
        <w:rPr>
          <w:rFonts w:hint="eastAsia" w:ascii="仿宋_GB2312" w:hAnsi="宋体" w:eastAsia="仿宋_GB2312" w:cs="宋体"/>
          <w:color w:val="000000" w:themeColor="text1"/>
          <w:sz w:val="32"/>
          <w:szCs w:val="32"/>
        </w:rPr>
        <w:t>建立重点企业常态化迁移服务机制，掌握企业效益、发展潜力、发展需求和企业外迁动向等情况，</w:t>
      </w:r>
      <w:r>
        <w:rPr>
          <w:rFonts w:hint="eastAsia" w:ascii="仿宋_GB2312" w:eastAsia="仿宋_GB2312"/>
          <w:color w:val="000000" w:themeColor="text1"/>
          <w:sz w:val="32"/>
          <w:szCs w:val="32"/>
        </w:rPr>
        <w:t>及时</w:t>
      </w:r>
      <w:r>
        <w:rPr>
          <w:rFonts w:hint="eastAsia" w:ascii="仿宋_GB2312" w:hAnsi="宋体" w:eastAsia="仿宋_GB2312" w:cs="宋体"/>
          <w:color w:val="000000" w:themeColor="text1"/>
          <w:sz w:val="32"/>
          <w:szCs w:val="32"/>
        </w:rPr>
        <w:t>协调解决企业实际诉求，</w:t>
      </w:r>
      <w:r>
        <w:rPr>
          <w:rFonts w:hint="eastAsia" w:ascii="仿宋_GB2312" w:eastAsia="仿宋_GB2312"/>
          <w:color w:val="000000" w:themeColor="text1"/>
          <w:sz w:val="32"/>
          <w:szCs w:val="32"/>
        </w:rPr>
        <w:t>完善服务措施</w:t>
      </w:r>
      <w:r>
        <w:rPr>
          <w:rFonts w:hint="eastAsia" w:ascii="仿宋_GB2312" w:hAnsi="宋体" w:eastAsia="仿宋_GB2312" w:cs="宋体"/>
          <w:color w:val="000000" w:themeColor="text1"/>
          <w:sz w:val="32"/>
          <w:szCs w:val="32"/>
        </w:rPr>
        <w:t>。</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7.提升企业开办注销便利度。</w:t>
      </w:r>
      <w:r>
        <w:rPr>
          <w:rFonts w:hint="eastAsia" w:ascii="仿宋_GB2312" w:hAnsi="仿宋_GB2312" w:eastAsia="仿宋_GB2312" w:cs="仿宋_GB2312"/>
          <w:sz w:val="32"/>
          <w:szCs w:val="32"/>
        </w:rPr>
        <w:t>着力提升企业设立登记、公章刻制、发票申领、银行开户、社保登记、公积金缴存登记全链条、全流程网办率，加大电子营业执照、电子公章和电子发票应用力度，实现企业开办2环节、1日办、零费用目标，达到国际先进水平。持续完善企业注销“一网服务”平台功能，提升退出效率。全面落实“照章联办、照银联办、证照联办、破产联办、税务预检”注销机制；全面优化简易注销、普通注销、强制注销方式，简易注销公告时间统一由45天压减至20天，普通注销撤销清算组备案环节，优化强制注销条件和程序，加强行政手段对僵尸主体、休眠主体有序合理处置。</w:t>
      </w:r>
    </w:p>
    <w:p>
      <w:pPr>
        <w:adjustRightInd w:val="0"/>
        <w:snapToGrid w:val="0"/>
        <w:spacing w:line="600" w:lineRule="exact"/>
        <w:ind w:firstLine="640" w:firstLineChars="200"/>
        <w:rPr>
          <w:rFonts w:ascii="楷体_GB2312" w:hAnsi="仿宋_GB2312" w:eastAsia="楷体_GB2312" w:cs="仿宋_GB2312"/>
          <w:bCs/>
          <w:kern w:val="0"/>
          <w:sz w:val="32"/>
          <w:szCs w:val="32"/>
        </w:rPr>
      </w:pPr>
      <w:r>
        <w:rPr>
          <w:rFonts w:hint="eastAsia" w:ascii="楷体_GB2312" w:hAnsi="仿宋_GB2312" w:eastAsia="楷体_GB2312" w:cs="仿宋_GB2312"/>
          <w:bCs/>
          <w:kern w:val="0"/>
          <w:sz w:val="32"/>
          <w:szCs w:val="32"/>
        </w:rPr>
        <w:t>（三）加强政策供给，激发市场主体成长信心。</w:t>
      </w:r>
    </w:p>
    <w:p>
      <w:pPr>
        <w:adjustRightInd w:val="0"/>
        <w:snapToGrid w:val="0"/>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b/>
          <w:bCs/>
          <w:sz w:val="32"/>
          <w:szCs w:val="32"/>
        </w:rPr>
        <w:t>8.完善优质企业梯度培育体系。</w:t>
      </w:r>
      <w:r>
        <w:rPr>
          <w:rFonts w:hint="eastAsia" w:ascii="Times New Roman" w:hAnsi="Times New Roman" w:eastAsia="仿宋_GB2312" w:cs="Times New Roman"/>
          <w:sz w:val="32"/>
          <w:szCs w:val="32"/>
        </w:rPr>
        <w:t>健全企业梯度培育体系，完善企业梯度培育链条，健全“小升规”“隐型冠军”“专精特新”“高成长型”“领军型”“雄鹰型”企业梯度培育机制和评价体系，建立上述类型企业培育库，加大培育力度。加强对各类优质企业的政策保障，提高政策精准度，加大宣传力度，完善兑现机制，缩短办理时限，提高政策执行力。</w:t>
      </w:r>
      <w:r>
        <w:rPr>
          <w:rFonts w:hint="eastAsia" w:eastAsia="仿宋_GB2312"/>
          <w:sz w:val="32"/>
          <w:szCs w:val="32"/>
        </w:rPr>
        <w:t>实施科技企业“双倍增”计划，新认定高新技术企业550家、省科技型中小企业1800家</w:t>
      </w:r>
      <w:r>
        <w:rPr>
          <w:rFonts w:hint="eastAsia" w:ascii="仿宋_GB2312" w:hAnsi="宋体" w:eastAsia="仿宋_GB2312" w:cs="宋体"/>
          <w:sz w:val="32"/>
          <w:szCs w:val="32"/>
        </w:rPr>
        <w:t>。</w:t>
      </w:r>
    </w:p>
    <w:p>
      <w:pPr>
        <w:adjustRightInd w:val="0"/>
        <w:snapToGrid w:val="0"/>
        <w:spacing w:line="600" w:lineRule="exact"/>
        <w:ind w:firstLine="640" w:firstLineChars="200"/>
        <w:rPr>
          <w:rFonts w:ascii="仿宋_GB2312" w:hAnsi="宋体" w:eastAsia="仿宋_GB2312" w:cs="宋体"/>
          <w:sz w:val="32"/>
          <w:szCs w:val="32"/>
        </w:rPr>
      </w:pPr>
      <w:r>
        <w:rPr>
          <w:rFonts w:hint="eastAsia" w:ascii="仿宋_GB2312" w:hAnsi="仿宋_GB2312" w:eastAsia="仿宋_GB2312" w:cs="仿宋_GB2312"/>
          <w:b/>
          <w:sz w:val="32"/>
          <w:szCs w:val="32"/>
        </w:rPr>
        <w:t>9.</w:t>
      </w:r>
      <w:r>
        <w:rPr>
          <w:rFonts w:hint="eastAsia" w:ascii="仿宋_GB2312" w:hAnsi="仿宋_GB2312" w:eastAsia="仿宋_GB2312" w:cs="仿宋_GB2312"/>
          <w:b/>
          <w:bCs/>
          <w:kern w:val="0"/>
          <w:sz w:val="32"/>
          <w:szCs w:val="32"/>
        </w:rPr>
        <w:t>帮扶市场主体减负降费。</w:t>
      </w:r>
      <w:r>
        <w:rPr>
          <w:rFonts w:hint="eastAsia" w:ascii="仿宋_GB2312" w:eastAsia="仿宋_GB2312"/>
          <w:sz w:val="32"/>
          <w:szCs w:val="32"/>
        </w:rPr>
        <w:t>落实金融减费让利，用好财政支持深化民营和小微企业金融服务综合改革试点、小微企业贷款免征增值税等优惠政策，综合运用再贷款、再贴现资金</w:t>
      </w:r>
      <w:r>
        <w:rPr>
          <w:rFonts w:hint="eastAsia" w:ascii="仿宋_GB2312" w:eastAsia="仿宋_GB2312"/>
          <w:sz w:val="32"/>
          <w:szCs w:val="32"/>
          <w:lang w:eastAsia="zh-CN"/>
        </w:rPr>
        <w:t>等货币政策工具</w:t>
      </w:r>
      <w:r>
        <w:rPr>
          <w:rFonts w:hint="eastAsia" w:ascii="仿宋_GB2312" w:eastAsia="仿宋_GB2312"/>
          <w:sz w:val="32"/>
          <w:szCs w:val="32"/>
        </w:rPr>
        <w:t>，</w:t>
      </w:r>
      <w:r>
        <w:rPr>
          <w:rFonts w:hint="eastAsia" w:ascii="仿宋_GB2312" w:eastAsia="仿宋_GB2312"/>
          <w:sz w:val="32"/>
          <w:szCs w:val="32"/>
          <w:lang w:eastAsia="zh-CN"/>
        </w:rPr>
        <w:t>推动贷款市场报价利率（</w:t>
      </w:r>
      <w:r>
        <w:rPr>
          <w:rFonts w:hint="eastAsia" w:ascii="仿宋_GB2312" w:eastAsia="仿宋_GB2312"/>
          <w:sz w:val="32"/>
          <w:szCs w:val="32"/>
          <w:lang w:val="en-US" w:eastAsia="zh-CN"/>
        </w:rPr>
        <w:t>LPR</w:t>
      </w:r>
      <w:r>
        <w:rPr>
          <w:rFonts w:hint="eastAsia" w:ascii="仿宋_GB2312" w:eastAsia="仿宋_GB2312"/>
          <w:sz w:val="32"/>
          <w:szCs w:val="32"/>
          <w:lang w:eastAsia="zh-CN"/>
        </w:rPr>
        <w:t>）改革持续深化，</w:t>
      </w:r>
      <w:r>
        <w:rPr>
          <w:rFonts w:hint="eastAsia" w:ascii="仿宋_GB2312" w:eastAsia="仿宋_GB2312"/>
          <w:sz w:val="32"/>
          <w:szCs w:val="32"/>
        </w:rPr>
        <w:t>多方合力降低企业综合融资成本。</w:t>
      </w:r>
      <w:r>
        <w:rPr>
          <w:rFonts w:hint="eastAsia" w:ascii="仿宋_GB2312" w:eastAsia="仿宋_GB2312"/>
          <w:color w:val="000000"/>
          <w:sz w:val="32"/>
          <w:szCs w:val="32"/>
        </w:rPr>
        <w:t>完善</w:t>
      </w:r>
      <w:r>
        <w:rPr>
          <w:rFonts w:hint="eastAsia" w:ascii="仿宋_GB2312" w:eastAsia="仿宋_GB2312"/>
          <w:sz w:val="32"/>
          <w:szCs w:val="32"/>
        </w:rPr>
        <w:t>“一揽子”税收优惠政策体系，组织开展惠企政策落实兑现专项督查，不折不扣推进落实减税降费政策</w:t>
      </w:r>
      <w:r>
        <w:rPr>
          <w:rFonts w:hint="eastAsia" w:ascii="仿宋_GB2312" w:eastAsia="仿宋_GB2312"/>
          <w:color w:val="000000"/>
          <w:sz w:val="32"/>
          <w:szCs w:val="32"/>
        </w:rPr>
        <w:t>。</w:t>
      </w:r>
    </w:p>
    <w:p>
      <w:pPr>
        <w:adjustRightInd w:val="0"/>
        <w:snapToGrid w:val="0"/>
        <w:spacing w:line="600" w:lineRule="exact"/>
        <w:ind w:firstLine="640" w:firstLineChars="200"/>
        <w:rPr>
          <w:rFonts w:ascii="楷体_GB2312" w:hAnsi="仿宋_GB2312" w:eastAsia="楷体_GB2312" w:cs="仿宋_GB2312"/>
          <w:bCs/>
          <w:kern w:val="0"/>
          <w:sz w:val="32"/>
          <w:szCs w:val="32"/>
        </w:rPr>
      </w:pPr>
      <w:r>
        <w:rPr>
          <w:rFonts w:hint="eastAsia" w:ascii="楷体_GB2312" w:hAnsi="仿宋_GB2312" w:eastAsia="楷体_GB2312" w:cs="仿宋_GB2312"/>
          <w:bCs/>
          <w:kern w:val="0"/>
          <w:sz w:val="32"/>
          <w:szCs w:val="32"/>
        </w:rPr>
        <w:t>（四</w:t>
      </w:r>
      <w:r>
        <w:rPr>
          <w:rFonts w:ascii="楷体_GB2312" w:hAnsi="仿宋_GB2312" w:eastAsia="楷体_GB2312" w:cs="仿宋_GB2312"/>
          <w:bCs/>
          <w:kern w:val="0"/>
          <w:sz w:val="32"/>
          <w:szCs w:val="32"/>
        </w:rPr>
        <w:t>）</w:t>
      </w:r>
      <w:r>
        <w:rPr>
          <w:rFonts w:hint="eastAsia" w:ascii="楷体_GB2312" w:hAnsi="仿宋_GB2312" w:eastAsia="楷体_GB2312" w:cs="仿宋_GB2312"/>
          <w:bCs/>
          <w:kern w:val="0"/>
          <w:sz w:val="32"/>
          <w:szCs w:val="32"/>
        </w:rPr>
        <w:t>完善服务体系，增强市场主体竞争力。</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10.</w:t>
      </w:r>
      <w:r>
        <w:rPr>
          <w:rFonts w:hint="eastAsia" w:ascii="仿宋_GB2312" w:hAnsi="宋体" w:eastAsia="仿宋_GB2312" w:cs="Times New Roman"/>
          <w:b/>
          <w:sz w:val="32"/>
          <w:szCs w:val="32"/>
        </w:rPr>
        <w:t>畅通融资助企</w:t>
      </w:r>
      <w:r>
        <w:rPr>
          <w:rFonts w:hint="eastAsia" w:ascii="仿宋_GB2312" w:hAnsi="宋体" w:eastAsia="仿宋_GB2312"/>
          <w:b/>
          <w:sz w:val="32"/>
          <w:szCs w:val="32"/>
        </w:rPr>
        <w:t>渠道。</w:t>
      </w:r>
      <w:r>
        <w:rPr>
          <w:rFonts w:hint="eastAsia" w:ascii="仿宋_GB2312" w:hAnsi="仿宋_GB2312" w:eastAsia="仿宋_GB2312" w:cs="仿宋_GB2312"/>
          <w:sz w:val="32"/>
          <w:szCs w:val="32"/>
          <w:lang w:eastAsia="zh-CN"/>
        </w:rPr>
        <w:t>加大</w:t>
      </w:r>
      <w:r>
        <w:rPr>
          <w:rFonts w:hint="eastAsia" w:ascii="仿宋_GB2312" w:hAnsi="仿宋_GB2312" w:eastAsia="仿宋_GB2312" w:cs="仿宋_GB2312"/>
          <w:sz w:val="32"/>
          <w:szCs w:val="32"/>
        </w:rPr>
        <w:t>首贷户拓展</w:t>
      </w:r>
      <w:r>
        <w:rPr>
          <w:rFonts w:hint="eastAsia" w:ascii="仿宋_GB2312" w:hAnsi="仿宋_GB2312" w:eastAsia="仿宋_GB2312" w:cs="仿宋_GB2312"/>
          <w:sz w:val="32"/>
          <w:szCs w:val="32"/>
          <w:lang w:eastAsia="zh-CN"/>
        </w:rPr>
        <w:t>力度</w:t>
      </w:r>
      <w:r>
        <w:rPr>
          <w:rFonts w:hint="eastAsia" w:ascii="仿宋_GB2312" w:hAnsi="仿宋_GB2312" w:eastAsia="仿宋_GB2312" w:cs="仿宋_GB2312"/>
          <w:sz w:val="32"/>
          <w:szCs w:val="32"/>
        </w:rPr>
        <w:t>，建立小微企业和个体工商户“无贷户”两张名单，</w:t>
      </w:r>
      <w:r>
        <w:rPr>
          <w:rFonts w:hint="eastAsia" w:ascii="仿宋_GB2312" w:hAnsi="仿宋_GB2312" w:eastAsia="仿宋_GB2312" w:cs="仿宋_GB2312"/>
          <w:sz w:val="32"/>
          <w:szCs w:val="32"/>
          <w:lang w:eastAsia="zh-CN"/>
        </w:rPr>
        <w:t>强化融资对接。进一步深化</w:t>
      </w:r>
      <w:r>
        <w:rPr>
          <w:rFonts w:hint="eastAsia" w:ascii="仿宋_GB2312" w:hAnsi="仿宋_GB2312" w:eastAsia="仿宋_GB2312" w:cs="仿宋_GB2312"/>
          <w:sz w:val="32"/>
          <w:szCs w:val="32"/>
        </w:rPr>
        <w:t>政银合作</w:t>
      </w:r>
      <w:r>
        <w:rPr>
          <w:rFonts w:hint="eastAsia" w:ascii="仿宋_GB2312" w:hAnsi="仿宋_GB2312" w:eastAsia="仿宋_GB2312" w:cs="仿宋_GB2312"/>
          <w:sz w:val="32"/>
          <w:szCs w:val="32"/>
          <w:lang w:eastAsia="zh-CN"/>
        </w:rPr>
        <w:t>“一站式”服务</w:t>
      </w:r>
      <w:r>
        <w:rPr>
          <w:rFonts w:hint="eastAsia" w:ascii="仿宋_GB2312" w:hAnsi="仿宋_GB2312" w:eastAsia="仿宋_GB2312" w:cs="仿宋_GB2312"/>
          <w:sz w:val="32"/>
          <w:szCs w:val="32"/>
        </w:rPr>
        <w:t>机制，在登记注册和年报公示环节积极推广“贷款码”。推动温州金融综合服务平台与省级金融综合服务平台、企业数据宝等的对接融合，深入实施“融资畅通工程</w:t>
      </w:r>
      <w:r>
        <w:rPr>
          <w:rFonts w:ascii="仿宋_GB2312" w:hAnsi="仿宋_GB2312" w:eastAsia="仿宋_GB2312" w:cs="仿宋_GB2312"/>
          <w:sz w:val="32"/>
          <w:szCs w:val="32"/>
        </w:rPr>
        <w:t>”，加大对民营、小微企业等重点领域的信贷投放力度，持续深化无还本续贷业务和“无抵押贷款”试点，稳定企业融资预期、拓宽企业融资渠道，提升民营及小微企业金融服务获得感。</w:t>
      </w:r>
    </w:p>
    <w:p>
      <w:pPr>
        <w:adjustRightInd w:val="0"/>
        <w:snapToGrid w:val="0"/>
        <w:spacing w:line="600" w:lineRule="exact"/>
        <w:ind w:firstLine="640"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sz w:val="32"/>
          <w:szCs w:val="32"/>
        </w:rPr>
        <w:t>11.完善初创企业前端规范引导机制。</w:t>
      </w:r>
      <w:r>
        <w:rPr>
          <w:rFonts w:hint="eastAsia" w:ascii="仿宋_GB2312" w:hAnsi="仿宋_GB2312" w:eastAsia="仿宋_GB2312" w:cs="仿宋_GB2312"/>
          <w:sz w:val="32"/>
          <w:szCs w:val="32"/>
        </w:rPr>
        <w:t>深化政企合作模式，依托社会团体、企业等资源组建</w:t>
      </w:r>
      <w:r>
        <w:rPr>
          <w:rFonts w:hint="eastAsia" w:ascii="仿宋_GB2312" w:eastAsia="仿宋_GB2312"/>
          <w:sz w:val="32"/>
          <w:szCs w:val="32"/>
        </w:rPr>
        <w:t>“企业事务服务志愿队”，出台针对新设企业的引导性政策，在全市各地办事窗口、服务大厅等经营前段开展志愿服务，强化初创企业规范化运作。发挥</w:t>
      </w:r>
      <w:r>
        <w:rPr>
          <w:rFonts w:hint="eastAsia" w:ascii="仿宋_GB2312" w:hAnsi="仿宋_GB2312" w:eastAsia="仿宋_GB2312" w:cs="仿宋_GB2312"/>
          <w:sz w:val="32"/>
          <w:szCs w:val="32"/>
        </w:rPr>
        <w:t>我市中介机构和第三方服务企业优势，</w:t>
      </w:r>
      <w:r>
        <w:rPr>
          <w:rFonts w:hint="eastAsia" w:ascii="仿宋_GB2312" w:hAnsi="仿宋_GB2312" w:eastAsia="仿宋_GB2312" w:cs="仿宋_GB2312"/>
          <w:sz w:val="32"/>
          <w:szCs w:val="32"/>
          <w:lang w:eastAsia="zh-CN"/>
        </w:rPr>
        <w:t>鼓励有条件的县（市、区、功能区）</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向社会购买服务或为企业提供补贴等形式，向</w:t>
      </w:r>
      <w:r>
        <w:rPr>
          <w:rFonts w:hint="eastAsia" w:ascii="仿宋_GB2312" w:hAnsi="仿宋_GB2312" w:eastAsia="仿宋_GB2312" w:cs="仿宋_GB2312"/>
          <w:sz w:val="32"/>
          <w:szCs w:val="32"/>
        </w:rPr>
        <w:t>小微企业提供免费</w:t>
      </w:r>
      <w:r>
        <w:rPr>
          <w:rFonts w:hint="eastAsia" w:ascii="仿宋_GB2312" w:hAnsi="仿宋_GB2312" w:eastAsia="仿宋_GB2312" w:cs="仿宋_GB2312"/>
          <w:sz w:val="32"/>
          <w:szCs w:val="32"/>
          <w:lang w:eastAsia="zh-CN"/>
        </w:rPr>
        <w:t>注册登记代办和</w:t>
      </w:r>
      <w:r>
        <w:rPr>
          <w:rFonts w:hint="eastAsia" w:ascii="仿宋_GB2312" w:hAnsi="仿宋_GB2312" w:eastAsia="仿宋_GB2312" w:cs="仿宋_GB2312"/>
          <w:sz w:val="32"/>
          <w:szCs w:val="32"/>
        </w:rPr>
        <w:t>代理记账</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服务，规范初创期企业财务信息，有效减轻初创企业运营成本。</w:t>
      </w:r>
    </w:p>
    <w:p>
      <w:pPr>
        <w:adjustRightInd w:val="0"/>
        <w:snapToGrid w:val="0"/>
        <w:spacing w:line="600" w:lineRule="exact"/>
        <w:ind w:firstLine="640"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sz w:val="32"/>
          <w:szCs w:val="32"/>
        </w:rPr>
        <w:t>12.加强</w:t>
      </w:r>
      <w:r>
        <w:rPr>
          <w:rFonts w:ascii="仿宋_GB2312" w:hAnsi="仿宋_GB2312" w:eastAsia="仿宋_GB2312" w:cs="仿宋_GB2312"/>
          <w:b/>
          <w:sz w:val="32"/>
          <w:szCs w:val="32"/>
        </w:rPr>
        <w:t>小微企业职业技能培训工作</w:t>
      </w:r>
      <w:r>
        <w:rPr>
          <w:rFonts w:hint="eastAsia" w:ascii="仿宋_GB2312" w:hAnsi="仿宋_GB2312" w:eastAsia="仿宋_GB2312" w:cs="仿宋_GB2312"/>
          <w:sz w:val="32"/>
          <w:szCs w:val="32"/>
        </w:rPr>
        <w:t>。聚焦中小微企业生产经营需求，将</w:t>
      </w:r>
      <w:r>
        <w:rPr>
          <w:rFonts w:ascii="仿宋_GB2312" w:hAnsi="仿宋_GB2312" w:eastAsia="仿宋_GB2312" w:cs="仿宋_GB2312"/>
          <w:sz w:val="32"/>
          <w:szCs w:val="32"/>
        </w:rPr>
        <w:t>新业态、新领域作为培训的着力点和突破口，</w:t>
      </w:r>
      <w:r>
        <w:rPr>
          <w:rFonts w:hint="eastAsia" w:ascii="仿宋_GB2312" w:hAnsi="仿宋_GB2312" w:eastAsia="仿宋_GB2312" w:cs="仿宋_GB2312"/>
          <w:sz w:val="32"/>
          <w:szCs w:val="32"/>
        </w:rPr>
        <w:t>开展项目制培训，切实提高职工技能素质。举办小微企业职业技能大赛，以赛促训，提升从业者技能素质水平和就业创业能力。</w:t>
      </w:r>
    </w:p>
    <w:p>
      <w:pPr>
        <w:adjustRightInd w:val="0"/>
        <w:snapToGrid w:val="0"/>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四</w:t>
      </w:r>
      <w:r>
        <w:rPr>
          <w:rFonts w:ascii="黑体" w:hAnsi="黑体" w:eastAsia="黑体"/>
          <w:color w:val="000000"/>
          <w:sz w:val="32"/>
          <w:szCs w:val="32"/>
        </w:rPr>
        <w:t>、</w:t>
      </w:r>
      <w:r>
        <w:rPr>
          <w:rFonts w:hint="eastAsia" w:ascii="黑体" w:hAnsi="黑体" w:eastAsia="黑体"/>
          <w:color w:val="000000"/>
          <w:sz w:val="32"/>
          <w:szCs w:val="32"/>
        </w:rPr>
        <w:t>保障措施</w:t>
      </w:r>
    </w:p>
    <w:p>
      <w:pPr>
        <w:widowControl/>
        <w:adjustRightInd w:val="0"/>
        <w:snapToGrid w:val="0"/>
        <w:spacing w:line="600" w:lineRule="exact"/>
        <w:ind w:firstLine="643"/>
        <w:jc w:val="left"/>
        <w:rPr>
          <w:rFonts w:ascii="仿宋_GB2312" w:hAnsi="微软雅黑" w:eastAsia="仿宋_GB2312" w:cs="宋体"/>
          <w:color w:val="333333"/>
          <w:kern w:val="0"/>
          <w:sz w:val="32"/>
          <w:szCs w:val="32"/>
        </w:rPr>
      </w:pPr>
      <w:r>
        <w:rPr>
          <w:rFonts w:hint="eastAsia" w:ascii="楷体_GB2312" w:hAnsi="仿宋_GB2312" w:eastAsia="楷体_GB2312" w:cs="仿宋_GB2312"/>
          <w:bCs/>
          <w:kern w:val="0"/>
          <w:sz w:val="32"/>
          <w:szCs w:val="32"/>
        </w:rPr>
        <w:t>（一）加强组织领导。</w:t>
      </w:r>
      <w:r>
        <w:rPr>
          <w:rFonts w:hint="eastAsia" w:ascii="仿宋_GB2312" w:hAnsi="仿宋_GB2312" w:eastAsia="仿宋_GB2312" w:cs="仿宋_GB2312"/>
          <w:sz w:val="32"/>
          <w:szCs w:val="32"/>
        </w:rPr>
        <w:t>各地各部门要充分认识百万市场主体挖潜拓市工作的重要性，把此项工作列入本地区本部门的重大改革任务，切实加强组织领导，制定细化方案，明确责任分工，加强协调配合，切实推进各项举措落地见效。市市场监管局要成立改革工作专班，强化牵头协调和指导督促，市级各相关部门要密切协同，形成“全市一盘棋”的工作格局。</w:t>
      </w:r>
    </w:p>
    <w:p>
      <w:pPr>
        <w:widowControl/>
        <w:adjustRightInd w:val="0"/>
        <w:snapToGrid w:val="0"/>
        <w:spacing w:line="600" w:lineRule="exact"/>
        <w:ind w:firstLine="643"/>
        <w:jc w:val="left"/>
        <w:rPr>
          <w:rFonts w:ascii="微软雅黑" w:hAnsi="微软雅黑" w:eastAsia="微软雅黑" w:cs="宋体"/>
          <w:color w:val="333333"/>
          <w:kern w:val="0"/>
          <w:sz w:val="30"/>
          <w:szCs w:val="30"/>
        </w:rPr>
      </w:pPr>
      <w:r>
        <w:rPr>
          <w:rFonts w:hint="eastAsia" w:ascii="楷体_GB2312" w:hAnsi="仿宋_GB2312" w:eastAsia="楷体_GB2312" w:cs="仿宋_GB2312"/>
          <w:bCs/>
          <w:kern w:val="0"/>
          <w:sz w:val="32"/>
          <w:szCs w:val="32"/>
        </w:rPr>
        <w:t>（二）加强数字赋能。</w:t>
      </w:r>
      <w:r>
        <w:rPr>
          <w:rFonts w:hint="eastAsia" w:ascii="仿宋_GB2312" w:hAnsi="楷体_GB2312" w:eastAsia="仿宋_GB2312" w:cs="楷体_GB2312"/>
          <w:bCs/>
          <w:sz w:val="32"/>
          <w:szCs w:val="32"/>
        </w:rPr>
        <w:t>以政府数字化改革为引领，进一步完善数字驾驶舱建设，大力推进“数字化+商事改革”场景应用，迭代升级企业全程电子化登记平台功能，按照商事登记确认制改革要求，重塑登记流程和方式。充分发挥平台集成优势，打破信息壁垒，全面贯通纵向和横向注册、许可等各环节数据，加快推进“网上办、掌上办、就近办”，实现办事渠道多样化、办事效率快捷化、办事模式数字化。</w:t>
      </w:r>
    </w:p>
    <w:p>
      <w:pPr>
        <w:widowControl/>
        <w:adjustRightInd w:val="0"/>
        <w:snapToGrid w:val="0"/>
        <w:spacing w:line="600" w:lineRule="exact"/>
        <w:ind w:firstLine="643"/>
        <w:jc w:val="left"/>
        <w:rPr>
          <w:rFonts w:ascii="仿宋_GB2312" w:hAnsi="楷体_GB2312" w:eastAsia="仿宋_GB2312" w:cs="楷体_GB2312"/>
          <w:bCs/>
          <w:sz w:val="32"/>
          <w:szCs w:val="32"/>
        </w:rPr>
      </w:pPr>
      <w:r>
        <w:rPr>
          <w:rFonts w:hint="eastAsia" w:ascii="楷体_GB2312" w:hAnsi="仿宋_GB2312" w:eastAsia="楷体_GB2312" w:cs="仿宋_GB2312"/>
          <w:bCs/>
          <w:kern w:val="0"/>
          <w:sz w:val="32"/>
          <w:szCs w:val="32"/>
        </w:rPr>
        <w:t>（三）加强督查考核。</w:t>
      </w:r>
      <w:r>
        <w:rPr>
          <w:rFonts w:hint="eastAsia" w:ascii="仿宋_GB2312" w:hAnsi="楷体_GB2312" w:eastAsia="仿宋_GB2312" w:cs="楷体_GB2312"/>
          <w:bCs/>
          <w:sz w:val="32"/>
          <w:szCs w:val="32"/>
        </w:rPr>
        <w:t>市本级将</w:t>
      </w:r>
      <w:r>
        <w:rPr>
          <w:rFonts w:hint="eastAsia" w:ascii="Times New Roman" w:hAnsi="Times New Roman" w:eastAsia="仿宋_GB2312" w:cs="仿宋_GB2312"/>
          <w:snapToGrid w:val="0"/>
          <w:sz w:val="32"/>
          <w:szCs w:val="32"/>
        </w:rPr>
        <w:t>百万市场主体挖潜拓市工作</w:t>
      </w:r>
      <w:r>
        <w:rPr>
          <w:rFonts w:hint="eastAsia" w:ascii="仿宋_GB2312" w:hAnsi="楷体_GB2312" w:eastAsia="仿宋_GB2312" w:cs="楷体_GB2312"/>
          <w:bCs/>
          <w:sz w:val="32"/>
          <w:szCs w:val="32"/>
        </w:rPr>
        <w:t>纳入</w:t>
      </w:r>
      <w:r>
        <w:rPr>
          <w:rFonts w:ascii="仿宋_GB2312" w:hAnsi="楷体_GB2312" w:eastAsia="仿宋_GB2312" w:cs="楷体_GB2312"/>
          <w:bCs/>
          <w:sz w:val="32"/>
          <w:szCs w:val="32"/>
        </w:rPr>
        <w:t>2021</w:t>
      </w:r>
      <w:r>
        <w:rPr>
          <w:rFonts w:hint="eastAsia" w:ascii="仿宋_GB2312" w:hAnsi="楷体_GB2312" w:eastAsia="仿宋_GB2312" w:cs="楷体_GB2312"/>
          <w:bCs/>
          <w:sz w:val="32"/>
          <w:szCs w:val="32"/>
        </w:rPr>
        <w:t>年度对县（市、区）、省级产业集聚区的考绩体系，各地要传导压力，将该项工作纳入相应考绩体系。市本级将对</w:t>
      </w:r>
      <w:r>
        <w:rPr>
          <w:rFonts w:hint="eastAsia" w:ascii="Times New Roman" w:hAnsi="Times New Roman" w:eastAsia="仿宋_GB2312" w:cs="仿宋_GB2312"/>
          <w:snapToGrid w:val="0"/>
          <w:sz w:val="32"/>
          <w:szCs w:val="32"/>
        </w:rPr>
        <w:t>百万市场主体挖潜拓市工作</w:t>
      </w:r>
      <w:r>
        <w:rPr>
          <w:rFonts w:hint="eastAsia" w:ascii="仿宋_GB2312" w:hAnsi="楷体_GB2312" w:eastAsia="仿宋_GB2312" w:cs="楷体_GB2312"/>
          <w:bCs/>
          <w:sz w:val="32"/>
          <w:szCs w:val="32"/>
        </w:rPr>
        <w:t>推进情况进行常态化的督查、评估，定期通报工作进展情况，督促各地对标先进、找准差距、补齐短板。</w:t>
      </w:r>
    </w:p>
    <w:p>
      <w:pPr>
        <w:widowControl/>
        <w:adjustRightInd w:val="0"/>
        <w:snapToGrid w:val="0"/>
        <w:spacing w:line="600" w:lineRule="exact"/>
        <w:ind w:firstLine="643"/>
        <w:jc w:val="left"/>
        <w:rPr>
          <w:rFonts w:hint="eastAsia" w:ascii="仿宋_GB2312" w:eastAsia="仿宋_GB2312"/>
          <w:color w:val="000000"/>
          <w:sz w:val="32"/>
          <w:szCs w:val="32"/>
        </w:rPr>
      </w:pPr>
      <w:r>
        <w:rPr>
          <w:rFonts w:hint="eastAsia" w:ascii="楷体_GB2312" w:hAnsi="仿宋_GB2312" w:eastAsia="楷体_GB2312" w:cs="仿宋_GB2312"/>
          <w:bCs/>
          <w:kern w:val="0"/>
          <w:sz w:val="32"/>
          <w:szCs w:val="32"/>
        </w:rPr>
        <w:t>（四）加强宣传引导。</w:t>
      </w:r>
      <w:r>
        <w:rPr>
          <w:rFonts w:hint="eastAsia" w:ascii="仿宋_GB2312" w:hAnsi="楷体_GB2312" w:eastAsia="仿宋_GB2312" w:cs="楷体_GB2312"/>
          <w:bCs/>
          <w:sz w:val="32"/>
          <w:szCs w:val="32"/>
        </w:rPr>
        <w:t>各地各部门要多形式向社会广泛宣传我市百万市场主体挖潜拓市工作的创新举措，进一步增强公众对温州营商环境认同感，释放政策红利，有效激发市场活力和社会创造力</w:t>
      </w:r>
      <w:r>
        <w:rPr>
          <w:rFonts w:hint="eastAsia" w:ascii="Times New Roman" w:hAnsi="Times New Roman" w:eastAsia="仿宋_GB2312" w:cs="仿宋_GB2312"/>
          <w:snapToGrid w:val="0"/>
          <w:sz w:val="32"/>
          <w:szCs w:val="32"/>
        </w:rPr>
        <w:t>。</w:t>
      </w:r>
      <w:r>
        <w:rPr>
          <w:rFonts w:hint="eastAsia" w:ascii="仿宋_GB2312" w:hAnsi="楷体_GB2312" w:eastAsia="仿宋_GB2312" w:cs="楷体_GB2312"/>
          <w:bCs/>
          <w:sz w:val="32"/>
          <w:szCs w:val="32"/>
        </w:rPr>
        <w:t>要加强业务培训，提升干部业务素质和服务意识，确保各项改革举措落到实处</w:t>
      </w:r>
      <w:r>
        <w:rPr>
          <w:rFonts w:hint="eastAsia" w:ascii="仿宋_GB2312" w:eastAsia="仿宋_GB2312"/>
          <w:color w:val="000000"/>
          <w:sz w:val="32"/>
          <w:szCs w:val="32"/>
        </w:rPr>
        <w:t>。</w:t>
      </w:r>
    </w:p>
    <w:p>
      <w:pPr>
        <w:widowControl/>
        <w:adjustRightInd w:val="0"/>
        <w:snapToGrid w:val="0"/>
        <w:spacing w:line="600" w:lineRule="exact"/>
        <w:ind w:firstLine="643"/>
        <w:jc w:val="left"/>
        <w:rPr>
          <w:rFonts w:hint="eastAsia" w:ascii="仿宋_GB2312" w:hAnsi="楷体_GB2312" w:eastAsia="仿宋_GB2312" w:cs="楷体_GB2312"/>
          <w:bCs/>
          <w:sz w:val="32"/>
          <w:szCs w:val="32"/>
          <w:lang w:eastAsia="zh-CN"/>
        </w:rPr>
      </w:pPr>
      <w:r>
        <w:rPr>
          <w:rFonts w:hint="eastAsia" w:ascii="仿宋_GB2312" w:hAnsi="楷体_GB2312" w:eastAsia="仿宋_GB2312" w:cs="楷体_GB2312"/>
          <w:bCs/>
          <w:sz w:val="32"/>
          <w:szCs w:val="32"/>
        </w:rPr>
        <w:t>附件：温州市百万市场主体挖潜拓市工作</w:t>
      </w:r>
      <w:r>
        <w:rPr>
          <w:rFonts w:hint="eastAsia" w:ascii="仿宋_GB2312" w:hAnsi="楷体_GB2312" w:eastAsia="仿宋_GB2312" w:cs="楷体_GB2312"/>
          <w:bCs/>
          <w:sz w:val="32"/>
          <w:szCs w:val="32"/>
          <w:lang w:eastAsia="zh-CN"/>
        </w:rPr>
        <w:t>清单</w:t>
      </w:r>
    </w:p>
    <w:p>
      <w:pPr>
        <w:adjustRightInd w:val="0"/>
        <w:snapToGrid w:val="0"/>
        <w:jc w:val="left"/>
        <w:rPr>
          <w:rFonts w:hint="eastAsia" w:ascii="黑体" w:hAnsi="黑体" w:eastAsia="黑体"/>
          <w:sz w:val="32"/>
          <w:szCs w:val="32"/>
        </w:rPr>
      </w:pPr>
    </w:p>
    <w:p>
      <w:pPr>
        <w:adjustRightInd w:val="0"/>
        <w:snapToGrid w:val="0"/>
        <w:jc w:val="left"/>
        <w:rPr>
          <w:rFonts w:hint="eastAsia" w:ascii="黑体" w:hAnsi="黑体" w:eastAsia="黑体"/>
          <w:sz w:val="32"/>
          <w:szCs w:val="32"/>
        </w:rPr>
      </w:pPr>
    </w:p>
    <w:p>
      <w:pPr>
        <w:adjustRightInd w:val="0"/>
        <w:snapToGrid w:val="0"/>
        <w:jc w:val="left"/>
        <w:rPr>
          <w:rFonts w:hint="eastAsia" w:ascii="黑体" w:hAnsi="黑体" w:eastAsia="黑体"/>
          <w:sz w:val="32"/>
          <w:szCs w:val="32"/>
        </w:rPr>
      </w:pPr>
    </w:p>
    <w:p>
      <w:pPr>
        <w:adjustRightInd w:val="0"/>
        <w:snapToGrid w:val="0"/>
        <w:jc w:val="left"/>
        <w:rPr>
          <w:rFonts w:hint="eastAsia" w:ascii="黑体" w:hAnsi="黑体" w:eastAsia="黑体"/>
          <w:sz w:val="32"/>
          <w:szCs w:val="32"/>
        </w:rPr>
      </w:pPr>
    </w:p>
    <w:p>
      <w:pPr>
        <w:adjustRightInd w:val="0"/>
        <w:snapToGrid w:val="0"/>
        <w:jc w:val="left"/>
        <w:rPr>
          <w:rFonts w:hint="eastAsia" w:ascii="黑体" w:hAnsi="黑体" w:eastAsia="黑体"/>
          <w:sz w:val="32"/>
          <w:szCs w:val="32"/>
        </w:rPr>
      </w:pPr>
    </w:p>
    <w:p>
      <w:pPr>
        <w:adjustRightInd w:val="0"/>
        <w:snapToGrid w:val="0"/>
        <w:jc w:val="left"/>
        <w:rPr>
          <w:rFonts w:hint="eastAsia" w:ascii="黑体" w:hAnsi="黑体" w:eastAsia="黑体"/>
          <w:sz w:val="32"/>
          <w:szCs w:val="32"/>
        </w:rPr>
      </w:pPr>
    </w:p>
    <w:p>
      <w:pPr>
        <w:adjustRightInd w:val="0"/>
        <w:snapToGrid w:val="0"/>
        <w:jc w:val="left"/>
        <w:rPr>
          <w:rFonts w:hint="eastAsia" w:ascii="黑体" w:hAnsi="黑体" w:eastAsia="黑体"/>
          <w:sz w:val="32"/>
          <w:szCs w:val="32"/>
        </w:rPr>
      </w:pPr>
    </w:p>
    <w:p>
      <w:pPr>
        <w:adjustRightInd w:val="0"/>
        <w:snapToGrid w:val="0"/>
        <w:jc w:val="left"/>
        <w:rPr>
          <w:rFonts w:hint="eastAsia" w:ascii="黑体" w:hAnsi="黑体" w:eastAsia="黑体"/>
          <w:sz w:val="32"/>
          <w:szCs w:val="32"/>
        </w:rPr>
      </w:pPr>
    </w:p>
    <w:p>
      <w:pPr>
        <w:adjustRightInd w:val="0"/>
        <w:snapToGrid w:val="0"/>
        <w:jc w:val="left"/>
        <w:rPr>
          <w:rFonts w:hint="eastAsia" w:ascii="黑体" w:hAnsi="黑体" w:eastAsia="黑体"/>
          <w:sz w:val="32"/>
          <w:szCs w:val="32"/>
        </w:rPr>
      </w:pPr>
    </w:p>
    <w:p>
      <w:pPr>
        <w:adjustRightInd w:val="0"/>
        <w:snapToGrid w:val="0"/>
        <w:jc w:val="left"/>
        <w:rPr>
          <w:rFonts w:hint="eastAsia" w:ascii="黑体" w:hAnsi="黑体" w:eastAsia="黑体"/>
          <w:sz w:val="32"/>
          <w:szCs w:val="32"/>
        </w:rPr>
      </w:pPr>
    </w:p>
    <w:p>
      <w:pPr>
        <w:adjustRightInd w:val="0"/>
        <w:snapToGrid w:val="0"/>
        <w:jc w:val="left"/>
        <w:rPr>
          <w:rFonts w:hint="eastAsia" w:ascii="黑体" w:hAnsi="黑体" w:eastAsia="黑体"/>
          <w:sz w:val="32"/>
          <w:szCs w:val="32"/>
        </w:rPr>
      </w:pPr>
    </w:p>
    <w:p>
      <w:pPr>
        <w:adjustRightInd w:val="0"/>
        <w:snapToGrid w:val="0"/>
        <w:jc w:val="left"/>
        <w:rPr>
          <w:rFonts w:hint="eastAsia" w:ascii="黑体" w:hAnsi="黑体" w:eastAsia="黑体"/>
          <w:sz w:val="32"/>
          <w:szCs w:val="32"/>
        </w:rPr>
      </w:pPr>
    </w:p>
    <w:p>
      <w:pPr>
        <w:adjustRightInd w:val="0"/>
        <w:snapToGrid w:val="0"/>
        <w:jc w:val="left"/>
        <w:rPr>
          <w:rFonts w:hint="eastAsia" w:ascii="黑体" w:hAnsi="黑体" w:eastAsia="黑体"/>
          <w:sz w:val="32"/>
          <w:szCs w:val="32"/>
        </w:rPr>
      </w:pPr>
    </w:p>
    <w:p>
      <w:pPr>
        <w:adjustRightInd w:val="0"/>
        <w:snapToGrid w:val="0"/>
        <w:jc w:val="left"/>
        <w:rPr>
          <w:rFonts w:hint="eastAsia" w:ascii="黑体" w:hAnsi="黑体" w:eastAsia="黑体"/>
          <w:sz w:val="32"/>
          <w:szCs w:val="32"/>
        </w:rPr>
      </w:pPr>
    </w:p>
    <w:p>
      <w:pPr>
        <w:adjustRightInd w:val="0"/>
        <w:snapToGrid w:val="0"/>
        <w:jc w:val="left"/>
        <w:rPr>
          <w:rFonts w:hint="eastAsia" w:ascii="黑体" w:hAnsi="黑体" w:eastAsia="黑体"/>
          <w:sz w:val="32"/>
          <w:szCs w:val="32"/>
        </w:rPr>
      </w:pPr>
    </w:p>
    <w:p>
      <w:pPr>
        <w:adjustRightInd w:val="0"/>
        <w:snapToGrid w:val="0"/>
        <w:jc w:val="left"/>
        <w:rPr>
          <w:rFonts w:hint="eastAsia" w:ascii="黑体" w:hAnsi="黑体" w:eastAsia="黑体"/>
          <w:sz w:val="32"/>
          <w:szCs w:val="32"/>
        </w:rPr>
      </w:pPr>
    </w:p>
    <w:p>
      <w:pPr>
        <w:adjustRightInd w:val="0"/>
        <w:snapToGrid w:val="0"/>
        <w:jc w:val="left"/>
        <w:rPr>
          <w:rFonts w:hint="eastAsia" w:ascii="黑体" w:hAnsi="黑体" w:eastAsia="黑体"/>
          <w:sz w:val="32"/>
          <w:szCs w:val="32"/>
        </w:rPr>
      </w:pPr>
    </w:p>
    <w:p>
      <w:pPr>
        <w:adjustRightInd w:val="0"/>
        <w:snapToGrid w:val="0"/>
        <w:jc w:val="left"/>
        <w:rPr>
          <w:rFonts w:hint="eastAsia" w:ascii="黑体" w:hAnsi="黑体" w:eastAsia="黑体"/>
          <w:sz w:val="32"/>
          <w:szCs w:val="32"/>
        </w:rPr>
      </w:pPr>
    </w:p>
    <w:p>
      <w:pPr>
        <w:adjustRightInd w:val="0"/>
        <w:snapToGrid w:val="0"/>
        <w:jc w:val="left"/>
        <w:rPr>
          <w:rFonts w:hint="eastAsia" w:ascii="黑体" w:hAnsi="黑体" w:eastAsia="黑体"/>
          <w:sz w:val="32"/>
          <w:szCs w:val="32"/>
        </w:rPr>
      </w:pPr>
    </w:p>
    <w:p>
      <w:pPr>
        <w:adjustRightInd w:val="0"/>
        <w:snapToGrid w:val="0"/>
        <w:jc w:val="left"/>
        <w:rPr>
          <w:rFonts w:hint="eastAsia" w:ascii="黑体" w:hAnsi="黑体" w:eastAsia="黑体"/>
          <w:sz w:val="32"/>
          <w:szCs w:val="32"/>
        </w:rPr>
      </w:pPr>
    </w:p>
    <w:p>
      <w:pPr>
        <w:adjustRightInd w:val="0"/>
        <w:snapToGrid w:val="0"/>
        <w:jc w:val="left"/>
        <w:rPr>
          <w:rFonts w:hint="eastAsia" w:ascii="黑体" w:hAnsi="黑体" w:eastAsia="黑体"/>
          <w:sz w:val="32"/>
          <w:szCs w:val="32"/>
        </w:rPr>
      </w:pPr>
    </w:p>
    <w:p>
      <w:pPr>
        <w:adjustRightInd w:val="0"/>
        <w:snapToGrid w:val="0"/>
        <w:jc w:val="left"/>
        <w:rPr>
          <w:rFonts w:hint="eastAsia" w:ascii="黑体" w:hAnsi="黑体" w:eastAsia="黑体"/>
          <w:sz w:val="32"/>
          <w:szCs w:val="32"/>
        </w:rPr>
      </w:pPr>
    </w:p>
    <w:p>
      <w:pPr>
        <w:adjustRightInd w:val="0"/>
        <w:snapToGrid w:val="0"/>
        <w:jc w:val="left"/>
        <w:rPr>
          <w:rFonts w:hint="eastAsia" w:ascii="黑体" w:hAnsi="黑体" w:eastAsia="黑体"/>
          <w:sz w:val="32"/>
          <w:szCs w:val="32"/>
        </w:rPr>
      </w:pPr>
    </w:p>
    <w:p>
      <w:pPr>
        <w:adjustRightInd w:val="0"/>
        <w:snapToGrid w:val="0"/>
        <w:jc w:val="left"/>
        <w:rPr>
          <w:rFonts w:hint="eastAsia" w:ascii="黑体" w:hAnsi="黑体" w:eastAsia="黑体"/>
          <w:sz w:val="32"/>
          <w:szCs w:val="32"/>
        </w:rPr>
      </w:pPr>
    </w:p>
    <w:p>
      <w:pPr>
        <w:adjustRightInd w:val="0"/>
        <w:snapToGrid w:val="0"/>
        <w:jc w:val="left"/>
        <w:rPr>
          <w:rFonts w:hint="eastAsia" w:ascii="黑体" w:hAnsi="黑体" w:eastAsia="黑体"/>
          <w:sz w:val="32"/>
          <w:szCs w:val="32"/>
        </w:rPr>
      </w:pPr>
    </w:p>
    <w:p>
      <w:pPr>
        <w:adjustRightInd w:val="0"/>
        <w:snapToGrid w:val="0"/>
        <w:jc w:val="left"/>
        <w:rPr>
          <w:rFonts w:hint="eastAsia" w:ascii="黑体" w:hAnsi="黑体" w:eastAsia="黑体"/>
          <w:sz w:val="32"/>
          <w:szCs w:val="32"/>
        </w:rPr>
      </w:pPr>
    </w:p>
    <w:p>
      <w:pPr>
        <w:adjustRightInd w:val="0"/>
        <w:snapToGrid w:val="0"/>
        <w:jc w:val="left"/>
        <w:rPr>
          <w:rFonts w:hint="eastAsia" w:ascii="黑体" w:hAnsi="黑体" w:eastAsia="黑体"/>
          <w:sz w:val="32"/>
          <w:szCs w:val="32"/>
        </w:rPr>
      </w:pPr>
    </w:p>
    <w:p>
      <w:pPr>
        <w:adjustRightInd w:val="0"/>
        <w:snapToGrid w:val="0"/>
        <w:jc w:val="left"/>
        <w:rPr>
          <w:rFonts w:hint="eastAsia" w:ascii="黑体" w:hAnsi="黑体" w:eastAsia="黑体"/>
          <w:sz w:val="32"/>
          <w:szCs w:val="32"/>
        </w:rPr>
      </w:pPr>
    </w:p>
    <w:p>
      <w:pPr>
        <w:adjustRightInd w:val="0"/>
        <w:snapToGrid w:val="0"/>
        <w:jc w:val="left"/>
        <w:rPr>
          <w:rFonts w:hint="eastAsia" w:ascii="黑体" w:hAnsi="黑体" w:eastAsia="黑体"/>
          <w:sz w:val="32"/>
          <w:szCs w:val="32"/>
        </w:rPr>
        <w:sectPr>
          <w:footerReference r:id="rId3" w:type="default"/>
          <w:pgSz w:w="11906" w:h="16838"/>
          <w:pgMar w:top="1440" w:right="1134" w:bottom="1440" w:left="1134" w:header="851" w:footer="992" w:gutter="0"/>
          <w:cols w:space="425" w:num="1"/>
          <w:docGrid w:type="linesAndChars" w:linePitch="312" w:charSpace="0"/>
        </w:sectPr>
      </w:pPr>
    </w:p>
    <w:p>
      <w:pPr>
        <w:adjustRightInd w:val="0"/>
        <w:snapToGrid w:val="0"/>
        <w:jc w:val="left"/>
        <w:rPr>
          <w:rFonts w:ascii="黑体" w:hAnsi="黑体" w:eastAsia="黑体"/>
          <w:sz w:val="32"/>
          <w:szCs w:val="32"/>
        </w:rPr>
      </w:pPr>
      <w:r>
        <w:rPr>
          <w:rFonts w:hint="eastAsia" w:ascii="黑体" w:hAnsi="黑体" w:eastAsia="黑体"/>
          <w:sz w:val="32"/>
          <w:szCs w:val="32"/>
        </w:rPr>
        <w:t>附件</w:t>
      </w:r>
    </w:p>
    <w:p>
      <w:pPr>
        <w:spacing w:line="56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温州市百万市场主体挖潜拓市工作</w:t>
      </w:r>
      <w:r>
        <w:rPr>
          <w:rFonts w:hint="eastAsia" w:ascii="方正小标宋简体" w:eastAsia="方正小标宋简体"/>
          <w:sz w:val="44"/>
          <w:szCs w:val="44"/>
          <w:lang w:eastAsia="zh-CN"/>
        </w:rPr>
        <w:t>清单</w:t>
      </w:r>
    </w:p>
    <w:p>
      <w:pPr>
        <w:spacing w:line="560" w:lineRule="exact"/>
      </w:pPr>
    </w:p>
    <w:tbl>
      <w:tblPr>
        <w:tblStyle w:val="8"/>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2"/>
        <w:gridCol w:w="7088"/>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blHeader/>
        </w:trPr>
        <w:tc>
          <w:tcPr>
            <w:tcW w:w="3652" w:type="dxa"/>
            <w:vAlign w:val="center"/>
          </w:tcPr>
          <w:p>
            <w:pPr>
              <w:spacing w:line="400" w:lineRule="exact"/>
              <w:jc w:val="center"/>
              <w:rPr>
                <w:rFonts w:eastAsia="黑体"/>
                <w:sz w:val="28"/>
                <w:szCs w:val="28"/>
                <w:shd w:val="clear" w:color="auto" w:fill="FFFFFF"/>
              </w:rPr>
            </w:pPr>
            <w:r>
              <w:rPr>
                <w:rFonts w:eastAsia="黑体"/>
                <w:sz w:val="28"/>
                <w:szCs w:val="28"/>
                <w:shd w:val="clear" w:color="auto" w:fill="FFFFFF"/>
              </w:rPr>
              <w:t>清单项目</w:t>
            </w:r>
          </w:p>
        </w:tc>
        <w:tc>
          <w:tcPr>
            <w:tcW w:w="7088" w:type="dxa"/>
            <w:vAlign w:val="center"/>
          </w:tcPr>
          <w:p>
            <w:pPr>
              <w:spacing w:line="400" w:lineRule="exact"/>
              <w:jc w:val="center"/>
              <w:rPr>
                <w:rFonts w:eastAsia="黑体"/>
                <w:sz w:val="28"/>
                <w:szCs w:val="28"/>
                <w:shd w:val="clear" w:color="auto" w:fill="FFFFFF"/>
              </w:rPr>
            </w:pPr>
            <w:r>
              <w:rPr>
                <w:rFonts w:eastAsia="黑体"/>
                <w:sz w:val="28"/>
                <w:szCs w:val="28"/>
                <w:shd w:val="clear" w:color="auto" w:fill="FFFFFF"/>
              </w:rPr>
              <w:t>责任要求</w:t>
            </w:r>
          </w:p>
        </w:tc>
        <w:tc>
          <w:tcPr>
            <w:tcW w:w="3827" w:type="dxa"/>
            <w:vAlign w:val="center"/>
          </w:tcPr>
          <w:p>
            <w:pPr>
              <w:spacing w:line="400" w:lineRule="exact"/>
              <w:jc w:val="center"/>
              <w:rPr>
                <w:rFonts w:eastAsia="黑体"/>
                <w:sz w:val="28"/>
                <w:szCs w:val="28"/>
                <w:shd w:val="clear" w:color="auto" w:fill="FFFFFF"/>
              </w:rPr>
            </w:pPr>
            <w:r>
              <w:rPr>
                <w:rFonts w:hint="eastAsia" w:eastAsia="黑体"/>
                <w:sz w:val="28"/>
                <w:szCs w:val="28"/>
                <w:shd w:val="clear" w:color="auto" w:fill="FFFFFF"/>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4567" w:type="dxa"/>
            <w:gridSpan w:val="3"/>
            <w:vAlign w:val="center"/>
          </w:tcPr>
          <w:p>
            <w:pPr>
              <w:spacing w:line="400" w:lineRule="exact"/>
              <w:jc w:val="left"/>
              <w:rPr>
                <w:rFonts w:ascii="黑体" w:hAnsi="黑体" w:eastAsia="黑体" w:cs="仿宋"/>
                <w:color w:val="000000"/>
                <w:kern w:val="0"/>
                <w:sz w:val="28"/>
                <w:szCs w:val="28"/>
              </w:rPr>
            </w:pPr>
            <w:r>
              <w:rPr>
                <w:rFonts w:hint="eastAsia" w:ascii="黑体" w:hAnsi="黑体" w:eastAsia="黑体" w:cs="仿宋"/>
                <w:color w:val="000000"/>
                <w:kern w:val="0"/>
                <w:sz w:val="28"/>
                <w:szCs w:val="28"/>
              </w:rPr>
              <w:t>一、强化数字赋能，激发市场主体新活力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3652" w:type="dxa"/>
            <w:vMerge w:val="restart"/>
            <w:vAlign w:val="center"/>
          </w:tcPr>
          <w:p>
            <w:pPr>
              <w:adjustRightInd w:val="0"/>
              <w:snapToGrid w:val="0"/>
              <w:spacing w:line="400" w:lineRule="exac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1.推广电子证照跨领域多维应用</w:t>
            </w:r>
          </w:p>
        </w:tc>
        <w:tc>
          <w:tcPr>
            <w:tcW w:w="7088" w:type="dxa"/>
            <w:vAlign w:val="center"/>
          </w:tcPr>
          <w:p>
            <w:pPr>
              <w:adjustRightInd w:val="0"/>
              <w:snapToGrid w:val="0"/>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改造市场监管局领域内各类许可证业务平台及系统端口，打通电子营业执照管理系统与许可系统数据对接。</w:t>
            </w:r>
          </w:p>
        </w:tc>
        <w:tc>
          <w:tcPr>
            <w:tcW w:w="3827" w:type="dxa"/>
            <w:vAlign w:val="center"/>
          </w:tcPr>
          <w:p>
            <w:pPr>
              <w:adjustRightInd w:val="0"/>
              <w:snapToGrid w:val="0"/>
              <w:spacing w:line="400" w:lineRule="exac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*市市场监管局、市大数据局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trPr>
        <w:tc>
          <w:tcPr>
            <w:tcW w:w="3652" w:type="dxa"/>
            <w:vMerge w:val="continue"/>
            <w:vAlign w:val="center"/>
          </w:tcPr>
          <w:p>
            <w:pPr>
              <w:adjustRightInd w:val="0"/>
              <w:snapToGrid w:val="0"/>
              <w:spacing w:line="400" w:lineRule="exact"/>
              <w:rPr>
                <w:rFonts w:ascii="仿宋_GB2312" w:hAnsi="仿宋" w:eastAsia="仿宋_GB2312" w:cs="仿宋"/>
                <w:color w:val="000000"/>
                <w:kern w:val="0"/>
                <w:sz w:val="28"/>
                <w:szCs w:val="28"/>
              </w:rPr>
            </w:pPr>
          </w:p>
        </w:tc>
        <w:tc>
          <w:tcPr>
            <w:tcW w:w="7088" w:type="dxa"/>
            <w:vAlign w:val="center"/>
          </w:tcPr>
          <w:p>
            <w:pPr>
              <w:adjustRightInd w:val="0"/>
              <w:snapToGrid w:val="0"/>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在“浙里办”平台自行下载申领电子营业执照和电子印章。推动电子营业执照取代纸质营业执照和实体印章，大力拓宽电子证照跨领域应用场景，作为市场主体办理银行开户、贷款审批、纳税申报等政务服务业务的身份确认有效载体。</w:t>
            </w:r>
          </w:p>
        </w:tc>
        <w:tc>
          <w:tcPr>
            <w:tcW w:w="3827" w:type="dxa"/>
            <w:vAlign w:val="center"/>
          </w:tcPr>
          <w:p>
            <w:pPr>
              <w:adjustRightInd w:val="0"/>
              <w:snapToGrid w:val="0"/>
              <w:spacing w:line="400" w:lineRule="exac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*市大数据局、*市政务服务局、市市场监管局、市公安局、市税务局、温州银保监分局、人行温州市中心支行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3652" w:type="dxa"/>
            <w:vAlign w:val="center"/>
          </w:tcPr>
          <w:p>
            <w:pPr>
              <w:adjustRightInd w:val="0"/>
              <w:snapToGrid w:val="0"/>
              <w:spacing w:line="400" w:lineRule="exac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2.</w:t>
            </w:r>
            <w:r>
              <w:rPr>
                <w:rFonts w:hint="eastAsia"/>
              </w:rPr>
              <w:t xml:space="preserve"> </w:t>
            </w:r>
            <w:r>
              <w:rPr>
                <w:rFonts w:hint="eastAsia" w:ascii="仿宋_GB2312" w:hAnsi="仿宋" w:eastAsia="仿宋_GB2312" w:cs="仿宋"/>
                <w:color w:val="000000"/>
                <w:kern w:val="0"/>
                <w:sz w:val="28"/>
                <w:szCs w:val="28"/>
              </w:rPr>
              <w:t>优化以信用为核心的新型监管机制</w:t>
            </w:r>
          </w:p>
        </w:tc>
        <w:tc>
          <w:tcPr>
            <w:tcW w:w="7088" w:type="dxa"/>
            <w:vAlign w:val="center"/>
          </w:tcPr>
          <w:p>
            <w:pPr>
              <w:adjustRightInd w:val="0"/>
              <w:snapToGrid w:val="0"/>
              <w:spacing w:line="400" w:lineRule="exact"/>
              <w:ind w:firstLine="560" w:firstLineChars="200"/>
              <w:rPr>
                <w:rFonts w:ascii="仿宋_GB2312" w:hAnsi="仿宋" w:eastAsia="仿宋_GB2312" w:cs="仿宋"/>
                <w:b/>
                <w:bCs/>
                <w:color w:val="000000"/>
                <w:kern w:val="0"/>
                <w:sz w:val="28"/>
                <w:szCs w:val="28"/>
              </w:rPr>
            </w:pPr>
            <w:r>
              <w:rPr>
                <w:rFonts w:hint="eastAsia" w:ascii="仿宋_GB2312" w:hAnsi="仿宋" w:eastAsia="仿宋_GB2312" w:cs="仿宋"/>
                <w:bCs/>
                <w:color w:val="000000"/>
                <w:kern w:val="0"/>
                <w:sz w:val="28"/>
                <w:szCs w:val="28"/>
              </w:rPr>
              <w:t>完善事前信用核查+信用承诺、事中信用风险监测预警+分级分类监管、事后联合奖惩+信用修复，构建“互联网＋监管＋信用”体系，形成贯穿市场主体从准入到退出全生命周期综合监管闭环。</w:t>
            </w:r>
          </w:p>
        </w:tc>
        <w:tc>
          <w:tcPr>
            <w:tcW w:w="3827" w:type="dxa"/>
            <w:vAlign w:val="center"/>
          </w:tcPr>
          <w:p>
            <w:pPr>
              <w:adjustRightInd w:val="0"/>
              <w:snapToGrid w:val="0"/>
              <w:spacing w:line="400" w:lineRule="exac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*市市场监管局、市委改革办、市发改局、市大数据局、市政务服务局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vMerge w:val="restart"/>
            <w:vAlign w:val="center"/>
          </w:tcPr>
          <w:p>
            <w:pPr>
              <w:adjustRightInd w:val="0"/>
              <w:snapToGrid w:val="0"/>
              <w:spacing w:line="400" w:lineRule="exac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3.</w:t>
            </w:r>
            <w:r>
              <w:rPr>
                <w:rFonts w:ascii="仿宋_GB2312" w:hAnsi="仿宋" w:eastAsia="仿宋_GB2312" w:cs="仿宋"/>
                <w:color w:val="000000"/>
                <w:kern w:val="0"/>
                <w:sz w:val="28"/>
                <w:szCs w:val="28"/>
              </w:rPr>
              <w:t>迭代升级“证照分离”</w:t>
            </w:r>
            <w:r>
              <w:rPr>
                <w:rFonts w:hint="eastAsia" w:ascii="仿宋_GB2312" w:hAnsi="仿宋" w:eastAsia="仿宋_GB2312" w:cs="仿宋"/>
                <w:color w:val="000000"/>
                <w:kern w:val="0"/>
                <w:sz w:val="28"/>
                <w:szCs w:val="28"/>
              </w:rPr>
              <w:t>集成应用</w:t>
            </w:r>
          </w:p>
        </w:tc>
        <w:tc>
          <w:tcPr>
            <w:tcW w:w="7088" w:type="dxa"/>
            <w:vAlign w:val="center"/>
          </w:tcPr>
          <w:p>
            <w:pPr>
              <w:adjustRightInd w:val="0"/>
              <w:snapToGrid w:val="0"/>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进一步加大取消审批和审批改备案力度，精简重复类审批，取消不必要的审批。持续推动告知承诺数量取得更大突破，力争达到</w:t>
            </w:r>
            <w:r>
              <w:rPr>
                <w:rFonts w:ascii="仿宋_GB2312" w:hAnsi="仿宋" w:eastAsia="仿宋_GB2312" w:cs="仿宋"/>
                <w:color w:val="000000"/>
                <w:kern w:val="0"/>
                <w:sz w:val="28"/>
                <w:szCs w:val="28"/>
              </w:rPr>
              <w:t>150项以上</w:t>
            </w:r>
            <w:r>
              <w:rPr>
                <w:rFonts w:hint="eastAsia" w:ascii="仿宋_GB2312" w:hAnsi="仿宋" w:eastAsia="仿宋_GB2312" w:cs="仿宋"/>
                <w:color w:val="000000"/>
                <w:kern w:val="0"/>
                <w:sz w:val="28"/>
                <w:szCs w:val="28"/>
              </w:rPr>
              <w:t>。</w:t>
            </w:r>
          </w:p>
        </w:tc>
        <w:tc>
          <w:tcPr>
            <w:tcW w:w="3827" w:type="dxa"/>
            <w:vAlign w:val="center"/>
          </w:tcPr>
          <w:p>
            <w:pPr>
              <w:adjustRightInd w:val="0"/>
              <w:snapToGrid w:val="0"/>
              <w:spacing w:line="400" w:lineRule="exac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*市市场监管局、*市司法局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vMerge w:val="continue"/>
            <w:vAlign w:val="center"/>
          </w:tcPr>
          <w:p>
            <w:pPr>
              <w:adjustRightInd w:val="0"/>
              <w:snapToGrid w:val="0"/>
              <w:spacing w:line="400" w:lineRule="exact"/>
              <w:rPr>
                <w:rFonts w:ascii="仿宋_GB2312" w:hAnsi="仿宋" w:eastAsia="仿宋_GB2312" w:cs="仿宋"/>
                <w:color w:val="000000"/>
                <w:kern w:val="0"/>
                <w:sz w:val="28"/>
                <w:szCs w:val="28"/>
              </w:rPr>
            </w:pPr>
          </w:p>
        </w:tc>
        <w:tc>
          <w:tcPr>
            <w:tcW w:w="7088" w:type="dxa"/>
            <w:vAlign w:val="center"/>
          </w:tcPr>
          <w:p>
            <w:pPr>
              <w:adjustRightInd w:val="0"/>
              <w:snapToGrid w:val="0"/>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积极向上对接，推动相关部门完成审批系统升级改造，提升告知承诺网办率，打造极简审批。完成“证照分离”协同平台建设，贯通注册登记、行政许可、监督检查、行政处罚各节点数据，实现数据精准推送、实时下发、及时反馈，形成管理闭环。</w:t>
            </w:r>
          </w:p>
        </w:tc>
        <w:tc>
          <w:tcPr>
            <w:tcW w:w="3827" w:type="dxa"/>
            <w:vAlign w:val="center"/>
          </w:tcPr>
          <w:p>
            <w:pPr>
              <w:adjustRightInd w:val="0"/>
              <w:snapToGrid w:val="0"/>
              <w:spacing w:line="400" w:lineRule="exac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*市大数据局、市政务服务局、市市场监管局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4567" w:type="dxa"/>
            <w:gridSpan w:val="3"/>
            <w:vAlign w:val="center"/>
          </w:tcPr>
          <w:p>
            <w:pPr>
              <w:spacing w:line="400" w:lineRule="exact"/>
              <w:rPr>
                <w:rFonts w:ascii="黑体" w:hAnsi="黑体" w:eastAsia="黑体" w:cs="仿宋"/>
                <w:color w:val="000000"/>
                <w:kern w:val="0"/>
                <w:sz w:val="28"/>
                <w:szCs w:val="28"/>
              </w:rPr>
            </w:pPr>
            <w:r>
              <w:rPr>
                <w:rFonts w:hint="eastAsia" w:ascii="黑体" w:hAnsi="黑体" w:eastAsia="黑体" w:cs="仿宋"/>
                <w:color w:val="000000"/>
                <w:kern w:val="0"/>
                <w:sz w:val="28"/>
                <w:szCs w:val="28"/>
              </w:rPr>
              <w:t>二、加大改革力度，提升市场主体满意度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vAlign w:val="center"/>
          </w:tcPr>
          <w:p>
            <w:pPr>
              <w:adjustRightInd w:val="0"/>
              <w:snapToGrid w:val="0"/>
              <w:spacing w:line="400" w:lineRule="exac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4.推行商事主体登记确认制改革</w:t>
            </w:r>
          </w:p>
        </w:tc>
        <w:tc>
          <w:tcPr>
            <w:tcW w:w="7088" w:type="dxa"/>
            <w:vAlign w:val="center"/>
          </w:tcPr>
          <w:p>
            <w:pPr>
              <w:adjustRightInd w:val="0"/>
              <w:snapToGrid w:val="0"/>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推进“自主申报</w:t>
            </w:r>
            <w:r>
              <w:rPr>
                <w:rFonts w:ascii="仿宋_GB2312" w:hAnsi="仿宋" w:eastAsia="仿宋_GB2312" w:cs="仿宋"/>
                <w:color w:val="000000"/>
                <w:kern w:val="0"/>
                <w:sz w:val="28"/>
                <w:szCs w:val="28"/>
              </w:rPr>
              <w:t>+信用承诺”模式在登记各场景应用，实现登记服务自主办理、名称自主申报、住所自主选址、经营范围自主选定、电子证照自主应用、主体迁移自主决定和退出方式自主选择，实现商事主体登记确认制全覆盖，最大程度赋予商事主体自主权</w:t>
            </w:r>
            <w:r>
              <w:rPr>
                <w:rFonts w:hint="eastAsia" w:ascii="仿宋_GB2312" w:hAnsi="仿宋" w:eastAsia="仿宋_GB2312" w:cs="仿宋"/>
                <w:color w:val="000000"/>
                <w:kern w:val="0"/>
                <w:sz w:val="28"/>
                <w:szCs w:val="28"/>
              </w:rPr>
              <w:t>。</w:t>
            </w:r>
          </w:p>
        </w:tc>
        <w:tc>
          <w:tcPr>
            <w:tcW w:w="3827" w:type="dxa"/>
            <w:vAlign w:val="center"/>
          </w:tcPr>
          <w:p>
            <w:pPr>
              <w:adjustRightInd w:val="0"/>
              <w:snapToGrid w:val="0"/>
              <w:spacing w:line="400" w:lineRule="exac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*市市场监管局、市政务服务局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vAlign w:val="center"/>
          </w:tcPr>
          <w:p>
            <w:pPr>
              <w:adjustRightInd w:val="0"/>
              <w:snapToGrid w:val="0"/>
              <w:spacing w:line="400" w:lineRule="exac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5.深化“双定三减”自由经营</w:t>
            </w:r>
          </w:p>
        </w:tc>
        <w:tc>
          <w:tcPr>
            <w:tcW w:w="7088" w:type="dxa"/>
            <w:vAlign w:val="center"/>
          </w:tcPr>
          <w:p>
            <w:pPr>
              <w:adjustRightInd w:val="0"/>
              <w:snapToGrid w:val="0"/>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针对特定行业在指定时间和范围内开展的经营活动，推行住所登记承诺制（即办制）、个体户口头申报、个体工商户营业转让等简易登记模式，实现减材料、减时间、减流程，通过最大限度下放登记许可权限。完善实行包容审慎的“双随机”监管模式。</w:t>
            </w:r>
          </w:p>
        </w:tc>
        <w:tc>
          <w:tcPr>
            <w:tcW w:w="3827" w:type="dxa"/>
            <w:vAlign w:val="center"/>
          </w:tcPr>
          <w:p>
            <w:pPr>
              <w:adjustRightInd w:val="0"/>
              <w:snapToGrid w:val="0"/>
              <w:spacing w:line="400" w:lineRule="exac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*市市场监管局、各县（市、区）政府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3652" w:type="dxa"/>
            <w:vMerge w:val="restart"/>
            <w:vAlign w:val="center"/>
          </w:tcPr>
          <w:p>
            <w:pPr>
              <w:adjustRightInd w:val="0"/>
              <w:snapToGrid w:val="0"/>
              <w:spacing w:line="400" w:lineRule="exac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6.推行企业市域内自由迁移</w:t>
            </w:r>
          </w:p>
        </w:tc>
        <w:tc>
          <w:tcPr>
            <w:tcW w:w="7088" w:type="dxa"/>
            <w:vAlign w:val="center"/>
          </w:tcPr>
          <w:p>
            <w:pPr>
              <w:adjustRightInd w:val="0"/>
              <w:snapToGrid w:val="0"/>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有效破除区域分割和地方保护，对企业的迁移申请，取消相关部门政策障碍。建立重点企业常态化迁移服务机制，及时协调解决企业实际诉求，完善服务措施。</w:t>
            </w:r>
          </w:p>
        </w:tc>
        <w:tc>
          <w:tcPr>
            <w:tcW w:w="3827" w:type="dxa"/>
            <w:vAlign w:val="center"/>
          </w:tcPr>
          <w:p>
            <w:pPr>
              <w:adjustRightInd w:val="0"/>
              <w:snapToGrid w:val="0"/>
              <w:spacing w:line="400" w:lineRule="exac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*市经信局、市市场监管局、市税务局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3652" w:type="dxa"/>
            <w:vMerge w:val="continue"/>
            <w:vAlign w:val="center"/>
          </w:tcPr>
          <w:p>
            <w:pPr>
              <w:adjustRightInd w:val="0"/>
              <w:snapToGrid w:val="0"/>
              <w:spacing w:line="400" w:lineRule="exact"/>
              <w:rPr>
                <w:rFonts w:ascii="仿宋_GB2312" w:hAnsi="仿宋" w:eastAsia="仿宋_GB2312" w:cs="仿宋"/>
                <w:color w:val="000000"/>
                <w:kern w:val="0"/>
                <w:sz w:val="28"/>
                <w:szCs w:val="28"/>
              </w:rPr>
            </w:pPr>
          </w:p>
        </w:tc>
        <w:tc>
          <w:tcPr>
            <w:tcW w:w="7088" w:type="dxa"/>
            <w:vAlign w:val="center"/>
          </w:tcPr>
          <w:p>
            <w:pPr>
              <w:adjustRightInd w:val="0"/>
              <w:snapToGrid w:val="0"/>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推进企业市域内迁移全流程网上办理，变企业跨区域迁移变更登记“两地三趟跑”为线上“零跑动”和线下“最多跑一次、跑一地”。</w:t>
            </w:r>
          </w:p>
        </w:tc>
        <w:tc>
          <w:tcPr>
            <w:tcW w:w="3827" w:type="dxa"/>
            <w:vAlign w:val="center"/>
          </w:tcPr>
          <w:p>
            <w:pPr>
              <w:adjustRightInd w:val="0"/>
              <w:snapToGrid w:val="0"/>
              <w:spacing w:line="400" w:lineRule="exac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vMerge w:val="restart"/>
            <w:vAlign w:val="center"/>
          </w:tcPr>
          <w:p>
            <w:pPr>
              <w:adjustRightInd w:val="0"/>
              <w:snapToGrid w:val="0"/>
              <w:spacing w:line="400" w:lineRule="exac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7.提升企业开办注销便利度</w:t>
            </w:r>
          </w:p>
        </w:tc>
        <w:tc>
          <w:tcPr>
            <w:tcW w:w="7088" w:type="dxa"/>
            <w:vAlign w:val="center"/>
          </w:tcPr>
          <w:p>
            <w:pPr>
              <w:adjustRightInd w:val="0"/>
              <w:snapToGrid w:val="0"/>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深化“易企办”改革，着力提升企业设立登记、公章刻制、发票申领、银行开户、社保登记、公积金缴存登记全链条、全流程网办率，加大电子营业执照、电子公章和电子发票应用力度，实现企业开办</w:t>
            </w:r>
            <w:r>
              <w:rPr>
                <w:rFonts w:ascii="仿宋_GB2312" w:hAnsi="仿宋" w:eastAsia="仿宋_GB2312" w:cs="仿宋"/>
                <w:color w:val="000000"/>
                <w:kern w:val="0"/>
                <w:sz w:val="28"/>
                <w:szCs w:val="28"/>
              </w:rPr>
              <w:t>2环节、1日办、零费用目标，达到国际先进水平。</w:t>
            </w:r>
          </w:p>
        </w:tc>
        <w:tc>
          <w:tcPr>
            <w:tcW w:w="3827" w:type="dxa"/>
            <w:vAlign w:val="center"/>
          </w:tcPr>
          <w:p>
            <w:pPr>
              <w:adjustRightInd w:val="0"/>
              <w:snapToGrid w:val="0"/>
              <w:spacing w:line="400" w:lineRule="exac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*市场监管局、市公安局、市税务局、市人力社保局、市住房公积金中心、人行温州市中心支行、各县（市、区）政府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vMerge w:val="continue"/>
            <w:vAlign w:val="center"/>
          </w:tcPr>
          <w:p>
            <w:pPr>
              <w:adjustRightInd w:val="0"/>
              <w:snapToGrid w:val="0"/>
              <w:spacing w:line="400" w:lineRule="exact"/>
              <w:rPr>
                <w:rFonts w:ascii="仿宋_GB2312" w:hAnsi="仿宋" w:eastAsia="仿宋_GB2312" w:cs="仿宋"/>
                <w:color w:val="000000"/>
                <w:kern w:val="0"/>
                <w:sz w:val="28"/>
                <w:szCs w:val="28"/>
              </w:rPr>
            </w:pPr>
          </w:p>
        </w:tc>
        <w:tc>
          <w:tcPr>
            <w:tcW w:w="7088" w:type="dxa"/>
            <w:vAlign w:val="center"/>
          </w:tcPr>
          <w:p>
            <w:pPr>
              <w:adjustRightInd w:val="0"/>
              <w:snapToGrid w:val="0"/>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持续完善企业注销“一网服务”平台功能。全面落实“照章联办、照银联办、证照联办、破产联办、税务预检”注销机制。</w:t>
            </w:r>
          </w:p>
        </w:tc>
        <w:tc>
          <w:tcPr>
            <w:tcW w:w="3827" w:type="dxa"/>
            <w:vAlign w:val="center"/>
          </w:tcPr>
          <w:p>
            <w:pPr>
              <w:adjustRightInd w:val="0"/>
              <w:snapToGrid w:val="0"/>
              <w:spacing w:line="400" w:lineRule="exac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*市市场监管局、市公安局、市法院、市税务局、市人力社保局、市住房公积金中心、人行温州市中心支行、各县（市、区）政府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trPr>
        <w:tc>
          <w:tcPr>
            <w:tcW w:w="3652" w:type="dxa"/>
            <w:vMerge w:val="continue"/>
            <w:vAlign w:val="center"/>
          </w:tcPr>
          <w:p>
            <w:pPr>
              <w:adjustRightInd w:val="0"/>
              <w:snapToGrid w:val="0"/>
              <w:spacing w:line="400" w:lineRule="exact"/>
              <w:rPr>
                <w:rFonts w:ascii="仿宋_GB2312" w:hAnsi="仿宋" w:eastAsia="仿宋_GB2312" w:cs="仿宋"/>
                <w:color w:val="000000"/>
                <w:kern w:val="0"/>
                <w:sz w:val="28"/>
                <w:szCs w:val="28"/>
              </w:rPr>
            </w:pPr>
          </w:p>
        </w:tc>
        <w:tc>
          <w:tcPr>
            <w:tcW w:w="7088" w:type="dxa"/>
            <w:vAlign w:val="center"/>
          </w:tcPr>
          <w:p>
            <w:pPr>
              <w:adjustRightInd w:val="0"/>
              <w:snapToGrid w:val="0"/>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优化简易注销、普通注销、强制注销方式，简易注销公告时间统一由</w:t>
            </w:r>
            <w:r>
              <w:rPr>
                <w:rFonts w:ascii="仿宋_GB2312" w:hAnsi="仿宋" w:eastAsia="仿宋_GB2312" w:cs="仿宋"/>
                <w:color w:val="000000"/>
                <w:kern w:val="0"/>
                <w:sz w:val="28"/>
                <w:szCs w:val="28"/>
              </w:rPr>
              <w:t>45天压减至20天，普通注销撤销清算组备案环节，</w:t>
            </w:r>
            <w:r>
              <w:rPr>
                <w:rFonts w:hint="eastAsia" w:ascii="仿宋_GB2312" w:hAnsi="仿宋" w:eastAsia="仿宋_GB2312" w:cs="仿宋"/>
                <w:color w:val="000000"/>
                <w:kern w:val="0"/>
                <w:sz w:val="28"/>
                <w:szCs w:val="28"/>
              </w:rPr>
              <w:t>优化强制注销条件和程序，加强行政手段对僵尸主体、休眠主体有序合理处置。</w:t>
            </w:r>
          </w:p>
        </w:tc>
        <w:tc>
          <w:tcPr>
            <w:tcW w:w="3827" w:type="dxa"/>
            <w:vAlign w:val="center"/>
          </w:tcPr>
          <w:p>
            <w:pPr>
              <w:adjustRightInd w:val="0"/>
              <w:snapToGrid w:val="0"/>
              <w:spacing w:line="400" w:lineRule="exact"/>
              <w:rPr>
                <w:rFonts w:ascii="仿宋_GB2312" w:hAnsi="仿宋" w:eastAsia="仿宋_GB2312" w:cs="仿宋"/>
                <w:color w:val="000000"/>
                <w:kern w:val="0"/>
                <w:sz w:val="28"/>
                <w:szCs w:val="28"/>
              </w:rPr>
            </w:pPr>
            <w:r>
              <w:rPr>
                <w:rFonts w:ascii="仿宋_GB2312" w:hAnsi="仿宋" w:eastAsia="仿宋_GB2312" w:cs="仿宋"/>
                <w:color w:val="000000"/>
                <w:kern w:val="0"/>
                <w:sz w:val="28"/>
                <w:szCs w:val="28"/>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4567" w:type="dxa"/>
            <w:gridSpan w:val="3"/>
            <w:vAlign w:val="center"/>
          </w:tcPr>
          <w:p>
            <w:pPr>
              <w:spacing w:line="400" w:lineRule="exact"/>
              <w:rPr>
                <w:rFonts w:ascii="黑体" w:hAnsi="黑体" w:eastAsia="黑体" w:cs="仿宋"/>
                <w:color w:val="000000"/>
                <w:kern w:val="0"/>
                <w:sz w:val="28"/>
                <w:szCs w:val="28"/>
              </w:rPr>
            </w:pPr>
            <w:r>
              <w:rPr>
                <w:rFonts w:hint="eastAsia" w:ascii="黑体" w:hAnsi="黑体" w:eastAsia="黑体" w:cs="仿宋"/>
                <w:color w:val="000000"/>
                <w:kern w:val="0"/>
                <w:sz w:val="28"/>
                <w:szCs w:val="28"/>
              </w:rPr>
              <w:t>三、加强政策供给，激发市场主体成长信心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vMerge w:val="restart"/>
            <w:vAlign w:val="center"/>
          </w:tcPr>
          <w:p>
            <w:pPr>
              <w:adjustRightInd w:val="0"/>
              <w:snapToGrid w:val="0"/>
              <w:spacing w:line="400" w:lineRule="exac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8.完善优质企业梯度培育体系</w:t>
            </w:r>
          </w:p>
        </w:tc>
        <w:tc>
          <w:tcPr>
            <w:tcW w:w="7088" w:type="dxa"/>
            <w:vAlign w:val="center"/>
          </w:tcPr>
          <w:p>
            <w:pPr>
              <w:adjustRightInd w:val="0"/>
              <w:snapToGrid w:val="0"/>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提高政策精准度，完善兑现机制、缩短办理时限，完善企业梯度培育链条，健全企业梯度培育机制和评价体系。</w:t>
            </w:r>
          </w:p>
        </w:tc>
        <w:tc>
          <w:tcPr>
            <w:tcW w:w="3827" w:type="dxa"/>
            <w:vAlign w:val="center"/>
          </w:tcPr>
          <w:p>
            <w:pPr>
              <w:adjustRightInd w:val="0"/>
              <w:snapToGrid w:val="0"/>
              <w:spacing w:line="400" w:lineRule="exac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*市经信局、市市场监管局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3652" w:type="dxa"/>
            <w:vMerge w:val="continue"/>
            <w:vAlign w:val="center"/>
          </w:tcPr>
          <w:p>
            <w:pPr>
              <w:adjustRightInd w:val="0"/>
              <w:snapToGrid w:val="0"/>
              <w:spacing w:line="400" w:lineRule="exact"/>
              <w:rPr>
                <w:rFonts w:ascii="仿宋_GB2312" w:hAnsi="仿宋" w:eastAsia="仿宋_GB2312" w:cs="仿宋"/>
                <w:color w:val="000000"/>
                <w:kern w:val="0"/>
                <w:sz w:val="28"/>
                <w:szCs w:val="28"/>
              </w:rPr>
            </w:pPr>
          </w:p>
        </w:tc>
        <w:tc>
          <w:tcPr>
            <w:tcW w:w="7088" w:type="dxa"/>
            <w:vAlign w:val="center"/>
          </w:tcPr>
          <w:p>
            <w:pPr>
              <w:adjustRightInd w:val="0"/>
              <w:snapToGrid w:val="0"/>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实施科技企业“双倍增”计划，新认定高新技术企业550家、省科技型中小企业1800家。</w:t>
            </w:r>
          </w:p>
        </w:tc>
        <w:tc>
          <w:tcPr>
            <w:tcW w:w="3827" w:type="dxa"/>
            <w:vAlign w:val="center"/>
          </w:tcPr>
          <w:p>
            <w:pPr>
              <w:adjustRightInd w:val="0"/>
              <w:snapToGrid w:val="0"/>
              <w:spacing w:line="400" w:lineRule="exac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vAlign w:val="center"/>
          </w:tcPr>
          <w:p>
            <w:pPr>
              <w:adjustRightInd w:val="0"/>
              <w:snapToGrid w:val="0"/>
              <w:spacing w:line="400" w:lineRule="exac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9.帮扶市场主体减负降费</w:t>
            </w:r>
          </w:p>
        </w:tc>
        <w:tc>
          <w:tcPr>
            <w:tcW w:w="7088" w:type="dxa"/>
            <w:vAlign w:val="center"/>
          </w:tcPr>
          <w:p>
            <w:pPr>
              <w:adjustRightInd w:val="0"/>
              <w:snapToGrid w:val="0"/>
              <w:spacing w:line="400" w:lineRule="exact"/>
              <w:ind w:firstLine="560" w:firstLineChars="200"/>
              <w:rPr>
                <w:rFonts w:ascii="仿宋_GB2312" w:hAnsi="仿宋" w:eastAsia="仿宋_GB2312" w:cs="仿宋"/>
                <w:kern w:val="0"/>
                <w:sz w:val="28"/>
                <w:szCs w:val="28"/>
              </w:rPr>
            </w:pPr>
            <w:r>
              <w:rPr>
                <w:rFonts w:hint="eastAsia" w:ascii="仿宋_GB2312" w:hAnsi="仿宋" w:eastAsia="仿宋_GB2312" w:cs="仿宋"/>
                <w:kern w:val="0"/>
                <w:sz w:val="28"/>
                <w:szCs w:val="28"/>
              </w:rPr>
              <w:t>落实金融减费让利，用好财政支持深化民营和小微企业金融服务综合改革试点、小微企业贷款免征增值税等优惠政策，综合运用再贷款、再贴现资金，多方合力降低企业综合融资成本。完善“一揽子”税收优惠政策体系，组织开展惠企政策落实兑现专项督查，不折不扣推进落实减税降费政策。</w:t>
            </w:r>
          </w:p>
        </w:tc>
        <w:tc>
          <w:tcPr>
            <w:tcW w:w="3827" w:type="dxa"/>
            <w:vAlign w:val="center"/>
          </w:tcPr>
          <w:p>
            <w:pPr>
              <w:adjustRightInd w:val="0"/>
              <w:snapToGrid w:val="0"/>
              <w:spacing w:line="400" w:lineRule="exac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w:t>
            </w:r>
            <w:r>
              <w:rPr>
                <w:rFonts w:ascii="仿宋_GB2312" w:hAnsi="仿宋" w:eastAsia="仿宋_GB2312" w:cs="仿宋"/>
                <w:color w:val="000000"/>
                <w:kern w:val="0"/>
                <w:sz w:val="28"/>
                <w:szCs w:val="28"/>
              </w:rPr>
              <w:t>市</w:t>
            </w:r>
            <w:r>
              <w:rPr>
                <w:rFonts w:hint="eastAsia" w:ascii="仿宋_GB2312" w:hAnsi="仿宋" w:eastAsia="仿宋_GB2312" w:cs="仿宋"/>
                <w:color w:val="000000"/>
                <w:kern w:val="0"/>
                <w:sz w:val="28"/>
                <w:szCs w:val="28"/>
              </w:rPr>
              <w:t>财政局、</w:t>
            </w:r>
            <w:r>
              <w:rPr>
                <w:rFonts w:hint="eastAsia" w:ascii="仿宋_GB2312" w:hAnsi="仿宋" w:eastAsia="仿宋_GB2312" w:cs="仿宋"/>
                <w:color w:val="000000"/>
                <w:kern w:val="0"/>
                <w:sz w:val="28"/>
                <w:szCs w:val="28"/>
                <w:lang w:eastAsia="zh-CN"/>
              </w:rPr>
              <w:t>市税务局、</w:t>
            </w:r>
            <w:r>
              <w:rPr>
                <w:rFonts w:hint="eastAsia" w:ascii="仿宋_GB2312" w:hAnsi="仿宋" w:eastAsia="仿宋_GB2312" w:cs="仿宋"/>
                <w:color w:val="000000"/>
                <w:kern w:val="0"/>
                <w:sz w:val="28"/>
                <w:szCs w:val="28"/>
              </w:rPr>
              <w:t>市金融办、人行温州市中心支行</w:t>
            </w:r>
            <w:r>
              <w:rPr>
                <w:rFonts w:hint="eastAsia" w:ascii="仿宋_GB2312" w:hAnsi="仿宋" w:eastAsia="仿宋_GB2312" w:cs="仿宋"/>
                <w:color w:val="000000"/>
                <w:kern w:val="0"/>
                <w:sz w:val="28"/>
                <w:szCs w:val="28"/>
                <w:lang w:eastAsia="zh-CN"/>
              </w:rPr>
              <w:t>、</w:t>
            </w:r>
            <w:r>
              <w:rPr>
                <w:rFonts w:hint="eastAsia" w:ascii="仿宋_GB2312" w:hAnsi="仿宋" w:eastAsia="仿宋_GB2312" w:cs="仿宋"/>
                <w:color w:val="000000"/>
                <w:kern w:val="0"/>
                <w:sz w:val="28"/>
                <w:szCs w:val="28"/>
              </w:rPr>
              <w:t>温州银保监分局、</w:t>
            </w:r>
            <w:r>
              <w:rPr>
                <w:rFonts w:ascii="仿宋_GB2312" w:hAnsi="仿宋" w:eastAsia="仿宋_GB2312" w:cs="仿宋"/>
                <w:color w:val="000000"/>
                <w:kern w:val="0"/>
                <w:sz w:val="28"/>
                <w:szCs w:val="28"/>
              </w:rPr>
              <w:t>各县（市、区）政府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4567" w:type="dxa"/>
            <w:gridSpan w:val="3"/>
            <w:vAlign w:val="center"/>
          </w:tcPr>
          <w:p>
            <w:pPr>
              <w:spacing w:line="400" w:lineRule="exact"/>
              <w:rPr>
                <w:rFonts w:ascii="黑体" w:hAnsi="黑体" w:eastAsia="黑体" w:cs="仿宋"/>
                <w:color w:val="000000"/>
                <w:kern w:val="0"/>
                <w:sz w:val="28"/>
                <w:szCs w:val="28"/>
              </w:rPr>
            </w:pPr>
            <w:r>
              <w:rPr>
                <w:rFonts w:hint="eastAsia" w:ascii="黑体" w:hAnsi="黑体" w:eastAsia="黑体" w:cs="仿宋"/>
                <w:color w:val="000000"/>
                <w:kern w:val="0"/>
                <w:sz w:val="28"/>
                <w:szCs w:val="28"/>
              </w:rPr>
              <w:t>四、完善服务体系，增强市场主体竞争力。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vMerge w:val="restart"/>
            <w:vAlign w:val="center"/>
          </w:tcPr>
          <w:p>
            <w:pPr>
              <w:adjustRightInd w:val="0"/>
              <w:snapToGrid w:val="0"/>
              <w:spacing w:line="400" w:lineRule="exac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10.畅通融资助企渠道</w:t>
            </w:r>
          </w:p>
        </w:tc>
        <w:tc>
          <w:tcPr>
            <w:tcW w:w="7088" w:type="dxa"/>
            <w:vAlign w:val="center"/>
          </w:tcPr>
          <w:p>
            <w:pPr>
              <w:adjustRightInd w:val="0"/>
              <w:snapToGrid w:val="0"/>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开展首贷户拓展工作，建立小微企业和个体工商户“无贷户”两张名单，建立政银合作机制，在登记注册和年报公示环节积极推广“贷款码”。</w:t>
            </w:r>
          </w:p>
        </w:tc>
        <w:tc>
          <w:tcPr>
            <w:tcW w:w="3827" w:type="dxa"/>
            <w:vAlign w:val="center"/>
          </w:tcPr>
          <w:p>
            <w:pPr>
              <w:adjustRightInd w:val="0"/>
              <w:snapToGrid w:val="0"/>
              <w:spacing w:line="400" w:lineRule="exac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*人行温州市中心支行、温州银保监分局、市市场监管局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3652" w:type="dxa"/>
            <w:vMerge w:val="continue"/>
            <w:vAlign w:val="center"/>
          </w:tcPr>
          <w:p>
            <w:pPr>
              <w:adjustRightInd w:val="0"/>
              <w:snapToGrid w:val="0"/>
              <w:spacing w:line="400" w:lineRule="exact"/>
              <w:rPr>
                <w:rFonts w:ascii="仿宋_GB2312" w:hAnsi="仿宋" w:eastAsia="仿宋_GB2312" w:cs="仿宋"/>
                <w:color w:val="000000"/>
                <w:kern w:val="0"/>
                <w:sz w:val="28"/>
                <w:szCs w:val="28"/>
              </w:rPr>
            </w:pPr>
          </w:p>
        </w:tc>
        <w:tc>
          <w:tcPr>
            <w:tcW w:w="7088" w:type="dxa"/>
            <w:vAlign w:val="center"/>
          </w:tcPr>
          <w:p>
            <w:pPr>
              <w:adjustRightInd w:val="0"/>
              <w:snapToGrid w:val="0"/>
              <w:spacing w:line="400" w:lineRule="exact"/>
              <w:ind w:firstLine="560" w:firstLineChars="200"/>
              <w:rPr>
                <w:rFonts w:ascii="仿宋_GB2312" w:hAnsi="仿宋" w:eastAsia="仿宋_GB2312" w:cs="仿宋"/>
                <w:color w:val="000000"/>
                <w:kern w:val="0"/>
                <w:sz w:val="28"/>
                <w:szCs w:val="28"/>
              </w:rPr>
            </w:pPr>
            <w:r>
              <w:rPr>
                <w:rFonts w:ascii="仿宋_GB2312" w:hAnsi="仿宋" w:eastAsia="仿宋_GB2312" w:cs="仿宋"/>
                <w:color w:val="000000"/>
                <w:kern w:val="0"/>
                <w:sz w:val="28"/>
                <w:szCs w:val="28"/>
              </w:rPr>
              <w:t>推动温州金融综合服务平台与省级金融综合服务平台、企业数据宝等的对接融合</w:t>
            </w:r>
            <w:r>
              <w:rPr>
                <w:rFonts w:ascii="仿宋_GB2312" w:hAnsi="仿宋" w:eastAsia="仿宋_GB2312" w:cs="仿宋"/>
                <w:kern w:val="0"/>
                <w:sz w:val="28"/>
                <w:szCs w:val="28"/>
              </w:rPr>
              <w:t>，</w:t>
            </w:r>
            <w:r>
              <w:rPr>
                <w:rFonts w:hint="eastAsia" w:ascii="仿宋_GB2312" w:hAnsi="仿宋" w:eastAsia="仿宋_GB2312" w:cs="仿宋"/>
                <w:kern w:val="0"/>
                <w:sz w:val="28"/>
                <w:szCs w:val="28"/>
              </w:rPr>
              <w:t>深入实施“融资畅通工程</w:t>
            </w:r>
            <w:r>
              <w:rPr>
                <w:rFonts w:ascii="仿宋_GB2312" w:hAnsi="仿宋" w:eastAsia="仿宋_GB2312" w:cs="仿宋"/>
                <w:kern w:val="0"/>
                <w:sz w:val="28"/>
                <w:szCs w:val="28"/>
              </w:rPr>
              <w:t>”，加大对民营、小微企业等重点领域的信贷投放力度，持续深化无还本续贷业务和“无抵押贷款”试点，稳定企业融资预期、拓宽企业融资渠道，提升民营及小微企业金融服务获得感。</w:t>
            </w:r>
          </w:p>
        </w:tc>
        <w:tc>
          <w:tcPr>
            <w:tcW w:w="3827" w:type="dxa"/>
            <w:vAlign w:val="center"/>
          </w:tcPr>
          <w:p>
            <w:pPr>
              <w:adjustRightInd w:val="0"/>
              <w:snapToGrid w:val="0"/>
              <w:spacing w:line="400" w:lineRule="exac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*市金融办、人行温州市中心支行、温州银保监分局、市经信局、市自然资源和规划局、市大数据局、市政务服务局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vMerge w:val="restart"/>
            <w:vAlign w:val="center"/>
          </w:tcPr>
          <w:p>
            <w:pPr>
              <w:adjustRightInd w:val="0"/>
              <w:snapToGrid w:val="0"/>
              <w:spacing w:line="400" w:lineRule="exac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11.完善初创企业前端规范引导机制</w:t>
            </w:r>
          </w:p>
        </w:tc>
        <w:tc>
          <w:tcPr>
            <w:tcW w:w="7088" w:type="dxa"/>
            <w:vAlign w:val="center"/>
          </w:tcPr>
          <w:p>
            <w:pPr>
              <w:adjustRightInd w:val="0"/>
              <w:snapToGrid w:val="0"/>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依托社会团体、企业等资源组建“企业事务服务志愿队”，完善出台针对新设企业的引导性政策，在全市各地办事窗口、服务大厅等经营前段开展志愿服务，强化初创企业规范化运作。</w:t>
            </w:r>
          </w:p>
        </w:tc>
        <w:tc>
          <w:tcPr>
            <w:tcW w:w="3827" w:type="dxa"/>
            <w:vAlign w:val="center"/>
          </w:tcPr>
          <w:p>
            <w:pPr>
              <w:adjustRightInd w:val="0"/>
              <w:snapToGrid w:val="0"/>
              <w:spacing w:line="400" w:lineRule="exac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52" w:type="dxa"/>
            <w:vMerge w:val="continue"/>
            <w:vAlign w:val="center"/>
          </w:tcPr>
          <w:p>
            <w:pPr>
              <w:adjustRightInd w:val="0"/>
              <w:snapToGrid w:val="0"/>
              <w:spacing w:line="400" w:lineRule="exact"/>
              <w:rPr>
                <w:rFonts w:ascii="仿宋_GB2312" w:hAnsi="仿宋" w:eastAsia="仿宋_GB2312" w:cs="仿宋"/>
                <w:color w:val="000000"/>
                <w:kern w:val="0"/>
                <w:sz w:val="28"/>
                <w:szCs w:val="28"/>
              </w:rPr>
            </w:pPr>
          </w:p>
        </w:tc>
        <w:tc>
          <w:tcPr>
            <w:tcW w:w="7088" w:type="dxa"/>
            <w:vAlign w:val="center"/>
          </w:tcPr>
          <w:p>
            <w:pPr>
              <w:adjustRightInd w:val="0"/>
              <w:snapToGrid w:val="0"/>
              <w:spacing w:line="600" w:lineRule="exact"/>
              <w:ind w:firstLine="560" w:firstLineChars="200"/>
              <w:rPr>
                <w:rFonts w:ascii="仿宋_GB2312" w:hAnsi="仿宋" w:eastAsia="仿宋_GB2312" w:cs="仿宋"/>
                <w:color w:val="000000"/>
                <w:kern w:val="0"/>
                <w:sz w:val="28"/>
                <w:szCs w:val="28"/>
              </w:rPr>
            </w:pPr>
            <w:r>
              <w:rPr>
                <w:rFonts w:hint="eastAsia" w:ascii="仿宋_GB2312" w:eastAsia="仿宋_GB2312"/>
                <w:sz w:val="28"/>
                <w:szCs w:val="28"/>
              </w:rPr>
              <w:t>发挥</w:t>
            </w:r>
            <w:r>
              <w:rPr>
                <w:rFonts w:hint="eastAsia" w:ascii="仿宋_GB2312" w:hAnsi="仿宋_GB2312" w:eastAsia="仿宋_GB2312" w:cs="仿宋_GB2312"/>
                <w:sz w:val="28"/>
                <w:szCs w:val="28"/>
              </w:rPr>
              <w:t>我市中介机构和第三方服务企业优势，</w:t>
            </w:r>
            <w:r>
              <w:rPr>
                <w:rFonts w:hint="eastAsia" w:ascii="仿宋_GB2312" w:hAnsi="仿宋_GB2312" w:eastAsia="仿宋_GB2312" w:cs="仿宋_GB2312"/>
                <w:sz w:val="28"/>
                <w:szCs w:val="28"/>
                <w:lang w:eastAsia="zh-CN"/>
              </w:rPr>
              <w:t>鼓励有条件的县（市、区）</w:t>
            </w:r>
            <w:r>
              <w:rPr>
                <w:rFonts w:hint="eastAsia" w:ascii="仿宋_GB2312" w:hAnsi="仿宋_GB2312" w:eastAsia="仿宋_GB2312" w:cs="仿宋_GB2312"/>
                <w:sz w:val="28"/>
                <w:szCs w:val="28"/>
              </w:rPr>
              <w:t>通过</w:t>
            </w:r>
            <w:r>
              <w:rPr>
                <w:rFonts w:hint="eastAsia" w:ascii="仿宋_GB2312" w:hAnsi="仿宋_GB2312" w:eastAsia="仿宋_GB2312" w:cs="仿宋_GB2312"/>
                <w:sz w:val="28"/>
                <w:szCs w:val="28"/>
                <w:lang w:eastAsia="zh-CN"/>
              </w:rPr>
              <w:t>向社会购买服务或为企业提供补贴等形式，向</w:t>
            </w:r>
            <w:r>
              <w:rPr>
                <w:rFonts w:hint="eastAsia" w:ascii="仿宋_GB2312" w:hAnsi="仿宋_GB2312" w:eastAsia="仿宋_GB2312" w:cs="仿宋_GB2312"/>
                <w:sz w:val="28"/>
                <w:szCs w:val="28"/>
              </w:rPr>
              <w:t>小微企业提供免费</w:t>
            </w:r>
            <w:r>
              <w:rPr>
                <w:rFonts w:hint="eastAsia" w:ascii="仿宋_GB2312" w:hAnsi="仿宋_GB2312" w:eastAsia="仿宋_GB2312" w:cs="仿宋_GB2312"/>
                <w:sz w:val="28"/>
                <w:szCs w:val="28"/>
                <w:lang w:eastAsia="zh-CN"/>
              </w:rPr>
              <w:t>注册登记代办和</w:t>
            </w:r>
            <w:r>
              <w:rPr>
                <w:rFonts w:hint="eastAsia" w:ascii="仿宋_GB2312" w:hAnsi="仿宋_GB2312" w:eastAsia="仿宋_GB2312" w:cs="仿宋_GB2312"/>
                <w:sz w:val="28"/>
                <w:szCs w:val="28"/>
              </w:rPr>
              <w:t>代理记账</w:t>
            </w:r>
            <w:r>
              <w:rPr>
                <w:rFonts w:hint="eastAsia" w:ascii="仿宋_GB2312" w:hAnsi="仿宋_GB2312" w:eastAsia="仿宋_GB2312" w:cs="仿宋_GB2312"/>
                <w:sz w:val="28"/>
                <w:szCs w:val="28"/>
                <w:lang w:eastAsia="zh-CN"/>
              </w:rPr>
              <w:t>等</w:t>
            </w:r>
            <w:r>
              <w:rPr>
                <w:rFonts w:hint="eastAsia" w:ascii="仿宋_GB2312" w:hAnsi="仿宋_GB2312" w:eastAsia="仿宋_GB2312" w:cs="仿宋_GB2312"/>
                <w:sz w:val="28"/>
                <w:szCs w:val="28"/>
              </w:rPr>
              <w:t>服务，规范初创期企业财务信息，有效减轻初创企业运营成本。</w:t>
            </w:r>
          </w:p>
        </w:tc>
        <w:tc>
          <w:tcPr>
            <w:tcW w:w="3827" w:type="dxa"/>
            <w:vAlign w:val="center"/>
          </w:tcPr>
          <w:p>
            <w:pPr>
              <w:adjustRightInd w:val="0"/>
              <w:snapToGrid w:val="0"/>
              <w:spacing w:line="400" w:lineRule="exac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*市财政局、市税务局、市市场监管局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2" w:type="dxa"/>
            <w:vAlign w:val="center"/>
          </w:tcPr>
          <w:p>
            <w:pPr>
              <w:adjustRightInd w:val="0"/>
              <w:snapToGrid w:val="0"/>
              <w:spacing w:line="400" w:lineRule="exac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12.开展小微职业技能提升工程</w:t>
            </w:r>
          </w:p>
        </w:tc>
        <w:tc>
          <w:tcPr>
            <w:tcW w:w="7088" w:type="dxa"/>
            <w:vAlign w:val="center"/>
          </w:tcPr>
          <w:p>
            <w:pPr>
              <w:adjustRightInd w:val="0"/>
              <w:snapToGrid w:val="0"/>
              <w:spacing w:line="400" w:lineRule="exact"/>
              <w:ind w:firstLine="560" w:firstLineChars="200"/>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紧密结合中小微企业生产经营需要，开展项目制培训，切实提高职工技能素质。举办小微企业职业技能大赛，以赛促训，提升从业者技能素质水平和就业创业能力。</w:t>
            </w:r>
          </w:p>
        </w:tc>
        <w:tc>
          <w:tcPr>
            <w:tcW w:w="3827" w:type="dxa"/>
            <w:vAlign w:val="center"/>
          </w:tcPr>
          <w:p>
            <w:pPr>
              <w:adjustRightInd w:val="0"/>
              <w:snapToGrid w:val="0"/>
              <w:spacing w:line="400" w:lineRule="exac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*市人力社保局、*市市场监管局</w:t>
            </w:r>
          </w:p>
        </w:tc>
      </w:tr>
    </w:tbl>
    <w:p/>
    <w:sectPr>
      <w:pgSz w:w="16838" w:h="11906" w:orient="landscape"/>
      <w:pgMar w:top="1134" w:right="1440" w:bottom="1134"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大标宋_GBK">
    <w:altName w:val="Droid Sans Fallback"/>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Droid Sans Fallback">
    <w:panose1 w:val="020B0502000000000001"/>
    <w:charset w:val="86"/>
    <w:family w:val="auto"/>
    <w:pitch w:val="default"/>
    <w:sig w:usb0="910002FF" w:usb1="2BDFFCFB" w:usb2="00000036" w:usb3="00000000" w:csb0="203F01FF" w:csb1="D7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9787741"/>
    </w:sdtPr>
    <w:sdtContent>
      <w:p>
        <w:pPr>
          <w:pStyle w:val="4"/>
          <w:jc w:val="cente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9</w:t>
        </w:r>
        <w:r>
          <w:rPr>
            <w:rFonts w:ascii="宋体" w:hAnsi="宋体" w:eastAsia="宋体"/>
            <w:sz w:val="28"/>
            <w:szCs w:val="28"/>
          </w:rPr>
          <w:fldChar w:fldCharType="end"/>
        </w:r>
        <w:r>
          <w:rPr>
            <w:rFonts w:hint="eastAsia" w:ascii="宋体" w:hAnsi="宋体" w:eastAsia="宋体"/>
            <w:sz w:val="28"/>
            <w:szCs w:val="28"/>
          </w:rPr>
          <w:t xml:space="preserve"> —</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01AF"/>
    <w:rsid w:val="000003E3"/>
    <w:rsid w:val="00055079"/>
    <w:rsid w:val="00064A65"/>
    <w:rsid w:val="000801C3"/>
    <w:rsid w:val="00080536"/>
    <w:rsid w:val="00080882"/>
    <w:rsid w:val="000865F5"/>
    <w:rsid w:val="00086763"/>
    <w:rsid w:val="000936EF"/>
    <w:rsid w:val="000B5262"/>
    <w:rsid w:val="000C63F8"/>
    <w:rsid w:val="000C6BFB"/>
    <w:rsid w:val="000C7CED"/>
    <w:rsid w:val="000D1AD1"/>
    <w:rsid w:val="000D3FB3"/>
    <w:rsid w:val="000D5151"/>
    <w:rsid w:val="000E14E9"/>
    <w:rsid w:val="000F14FE"/>
    <w:rsid w:val="000F70D2"/>
    <w:rsid w:val="00116A1C"/>
    <w:rsid w:val="00156550"/>
    <w:rsid w:val="00164AB6"/>
    <w:rsid w:val="001A4D8F"/>
    <w:rsid w:val="001B73D3"/>
    <w:rsid w:val="001D0F18"/>
    <w:rsid w:val="00215887"/>
    <w:rsid w:val="00255956"/>
    <w:rsid w:val="0026658C"/>
    <w:rsid w:val="0028664E"/>
    <w:rsid w:val="002879E5"/>
    <w:rsid w:val="002A7652"/>
    <w:rsid w:val="002A799D"/>
    <w:rsid w:val="002A7C1F"/>
    <w:rsid w:val="002C5809"/>
    <w:rsid w:val="002C63A2"/>
    <w:rsid w:val="002F1C70"/>
    <w:rsid w:val="002F3CDC"/>
    <w:rsid w:val="00322F9E"/>
    <w:rsid w:val="00360EEA"/>
    <w:rsid w:val="003A160C"/>
    <w:rsid w:val="003A2CAF"/>
    <w:rsid w:val="003A3B33"/>
    <w:rsid w:val="003C77EF"/>
    <w:rsid w:val="00403CA9"/>
    <w:rsid w:val="00415BC7"/>
    <w:rsid w:val="00441CD9"/>
    <w:rsid w:val="00444E17"/>
    <w:rsid w:val="00452BE1"/>
    <w:rsid w:val="00456067"/>
    <w:rsid w:val="00480306"/>
    <w:rsid w:val="0048572E"/>
    <w:rsid w:val="00492DAA"/>
    <w:rsid w:val="004A7FA2"/>
    <w:rsid w:val="004B5BA3"/>
    <w:rsid w:val="004D197C"/>
    <w:rsid w:val="004D3BE6"/>
    <w:rsid w:val="00504E63"/>
    <w:rsid w:val="0050535B"/>
    <w:rsid w:val="005222D3"/>
    <w:rsid w:val="0055169D"/>
    <w:rsid w:val="005524F6"/>
    <w:rsid w:val="005613EC"/>
    <w:rsid w:val="00593EA7"/>
    <w:rsid w:val="005A2A28"/>
    <w:rsid w:val="005A3968"/>
    <w:rsid w:val="005A7DC8"/>
    <w:rsid w:val="005E56B1"/>
    <w:rsid w:val="00606A2F"/>
    <w:rsid w:val="00611DDC"/>
    <w:rsid w:val="006245B4"/>
    <w:rsid w:val="006252B9"/>
    <w:rsid w:val="00644F10"/>
    <w:rsid w:val="0066320A"/>
    <w:rsid w:val="00663725"/>
    <w:rsid w:val="0067320B"/>
    <w:rsid w:val="00675F10"/>
    <w:rsid w:val="00676726"/>
    <w:rsid w:val="006937B4"/>
    <w:rsid w:val="006A01D7"/>
    <w:rsid w:val="006A44C6"/>
    <w:rsid w:val="006A58B2"/>
    <w:rsid w:val="006A68F2"/>
    <w:rsid w:val="006C07E7"/>
    <w:rsid w:val="006D1A4A"/>
    <w:rsid w:val="006D5640"/>
    <w:rsid w:val="006F48A8"/>
    <w:rsid w:val="007021B6"/>
    <w:rsid w:val="00704768"/>
    <w:rsid w:val="00706FA9"/>
    <w:rsid w:val="00730202"/>
    <w:rsid w:val="00734DA0"/>
    <w:rsid w:val="00736528"/>
    <w:rsid w:val="00740A8C"/>
    <w:rsid w:val="007460FD"/>
    <w:rsid w:val="00765111"/>
    <w:rsid w:val="00780C53"/>
    <w:rsid w:val="0079040F"/>
    <w:rsid w:val="00791BD3"/>
    <w:rsid w:val="007945B0"/>
    <w:rsid w:val="007B6515"/>
    <w:rsid w:val="007B7A4F"/>
    <w:rsid w:val="007C2542"/>
    <w:rsid w:val="007C4AC3"/>
    <w:rsid w:val="007D48FC"/>
    <w:rsid w:val="007D564E"/>
    <w:rsid w:val="007D6080"/>
    <w:rsid w:val="007E5347"/>
    <w:rsid w:val="007F11F2"/>
    <w:rsid w:val="008209C2"/>
    <w:rsid w:val="00824101"/>
    <w:rsid w:val="00833DF7"/>
    <w:rsid w:val="00855A54"/>
    <w:rsid w:val="00860EC8"/>
    <w:rsid w:val="00872307"/>
    <w:rsid w:val="008821E0"/>
    <w:rsid w:val="00894FE7"/>
    <w:rsid w:val="008A1760"/>
    <w:rsid w:val="008A468F"/>
    <w:rsid w:val="008F2244"/>
    <w:rsid w:val="008F4493"/>
    <w:rsid w:val="008F535D"/>
    <w:rsid w:val="008F7786"/>
    <w:rsid w:val="009047ED"/>
    <w:rsid w:val="00910183"/>
    <w:rsid w:val="0091561E"/>
    <w:rsid w:val="00917F19"/>
    <w:rsid w:val="009501AF"/>
    <w:rsid w:val="0095224A"/>
    <w:rsid w:val="00955815"/>
    <w:rsid w:val="00973448"/>
    <w:rsid w:val="00980F77"/>
    <w:rsid w:val="00983F00"/>
    <w:rsid w:val="009A19B2"/>
    <w:rsid w:val="009C75CB"/>
    <w:rsid w:val="009F1680"/>
    <w:rsid w:val="009F3AB3"/>
    <w:rsid w:val="009F4856"/>
    <w:rsid w:val="00A077DC"/>
    <w:rsid w:val="00A22643"/>
    <w:rsid w:val="00A31397"/>
    <w:rsid w:val="00A36AC0"/>
    <w:rsid w:val="00A454BA"/>
    <w:rsid w:val="00A517BC"/>
    <w:rsid w:val="00A52D18"/>
    <w:rsid w:val="00A6097F"/>
    <w:rsid w:val="00A636D7"/>
    <w:rsid w:val="00A642EA"/>
    <w:rsid w:val="00A73B93"/>
    <w:rsid w:val="00AA031A"/>
    <w:rsid w:val="00AB6E10"/>
    <w:rsid w:val="00AC06B6"/>
    <w:rsid w:val="00AD3278"/>
    <w:rsid w:val="00AF46D6"/>
    <w:rsid w:val="00AF7C99"/>
    <w:rsid w:val="00B139ED"/>
    <w:rsid w:val="00B20B71"/>
    <w:rsid w:val="00B363CD"/>
    <w:rsid w:val="00B376BB"/>
    <w:rsid w:val="00B502A5"/>
    <w:rsid w:val="00B573C8"/>
    <w:rsid w:val="00B9446D"/>
    <w:rsid w:val="00BD6632"/>
    <w:rsid w:val="00BE0A27"/>
    <w:rsid w:val="00C07195"/>
    <w:rsid w:val="00C07BEA"/>
    <w:rsid w:val="00C433FA"/>
    <w:rsid w:val="00C6690A"/>
    <w:rsid w:val="00C84FCA"/>
    <w:rsid w:val="00C919C0"/>
    <w:rsid w:val="00C94340"/>
    <w:rsid w:val="00CA5A71"/>
    <w:rsid w:val="00CA7498"/>
    <w:rsid w:val="00CC4E91"/>
    <w:rsid w:val="00CD4369"/>
    <w:rsid w:val="00CF7871"/>
    <w:rsid w:val="00D16410"/>
    <w:rsid w:val="00D24184"/>
    <w:rsid w:val="00D31CC5"/>
    <w:rsid w:val="00D46169"/>
    <w:rsid w:val="00D51A52"/>
    <w:rsid w:val="00D5273E"/>
    <w:rsid w:val="00D637A8"/>
    <w:rsid w:val="00D6506D"/>
    <w:rsid w:val="00D9284C"/>
    <w:rsid w:val="00DA7C6D"/>
    <w:rsid w:val="00DB135F"/>
    <w:rsid w:val="00DC397A"/>
    <w:rsid w:val="00DD3E8E"/>
    <w:rsid w:val="00DD4C3D"/>
    <w:rsid w:val="00E03BD0"/>
    <w:rsid w:val="00E0472B"/>
    <w:rsid w:val="00E2197D"/>
    <w:rsid w:val="00E226E0"/>
    <w:rsid w:val="00E73842"/>
    <w:rsid w:val="00E772EF"/>
    <w:rsid w:val="00E8330C"/>
    <w:rsid w:val="00E8477D"/>
    <w:rsid w:val="00E85D9C"/>
    <w:rsid w:val="00EA03EF"/>
    <w:rsid w:val="00EB0208"/>
    <w:rsid w:val="00EB4338"/>
    <w:rsid w:val="00EB566C"/>
    <w:rsid w:val="00EC1177"/>
    <w:rsid w:val="00EF2E96"/>
    <w:rsid w:val="00F01E68"/>
    <w:rsid w:val="00F07048"/>
    <w:rsid w:val="00F375BA"/>
    <w:rsid w:val="00F42EA3"/>
    <w:rsid w:val="00F43C7A"/>
    <w:rsid w:val="00F73B3A"/>
    <w:rsid w:val="00F7427B"/>
    <w:rsid w:val="00F75F1B"/>
    <w:rsid w:val="00F76A7C"/>
    <w:rsid w:val="00FB5908"/>
    <w:rsid w:val="00FE43E1"/>
    <w:rsid w:val="00FF5CBE"/>
    <w:rsid w:val="2FE56B32"/>
    <w:rsid w:val="347D3277"/>
    <w:rsid w:val="41DED2DA"/>
    <w:rsid w:val="4F7556F0"/>
    <w:rsid w:val="6F4A7C76"/>
    <w:rsid w:val="6FF769FD"/>
    <w:rsid w:val="AFF6EE0F"/>
    <w:rsid w:val="BDCE6401"/>
    <w:rsid w:val="CBFF3E11"/>
    <w:rsid w:val="D6BA55EB"/>
    <w:rsid w:val="EFBF213D"/>
    <w:rsid w:val="FE359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semiHidden/>
    <w:unhideWhenUsed/>
    <w:qFormat/>
    <w:uiPriority w:val="99"/>
    <w:pPr>
      <w:ind w:left="100" w:leftChars="2500"/>
    </w:p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Emphasis"/>
    <w:basedOn w:val="9"/>
    <w:qFormat/>
    <w:uiPriority w:val="20"/>
    <w:rPr>
      <w:i/>
      <w:iCs/>
    </w:rPr>
  </w:style>
  <w:style w:type="paragraph" w:styleId="11">
    <w:name w:val="List Paragraph"/>
    <w:basedOn w:val="1"/>
    <w:qFormat/>
    <w:uiPriority w:val="34"/>
    <w:pPr>
      <w:ind w:firstLine="420" w:firstLineChars="200"/>
    </w:pPr>
  </w:style>
  <w:style w:type="paragraph" w:customStyle="1" w:styleId="12">
    <w:name w:val="Char Char1 Char Char"/>
    <w:basedOn w:val="1"/>
    <w:qFormat/>
    <w:uiPriority w:val="0"/>
    <w:pPr>
      <w:widowControl/>
      <w:spacing w:after="160" w:line="240" w:lineRule="exact"/>
      <w:jc w:val="left"/>
    </w:pPr>
    <w:rPr>
      <w:rFonts w:ascii="Calibri" w:hAnsi="Calibri" w:eastAsia="宋体" w:cs="Times New Roman"/>
      <w:szCs w:val="24"/>
    </w:rPr>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 w:type="character" w:customStyle="1" w:styleId="15">
    <w:name w:val="批注框文本 Char"/>
    <w:basedOn w:val="9"/>
    <w:link w:val="3"/>
    <w:semiHidden/>
    <w:qFormat/>
    <w:uiPriority w:val="99"/>
    <w:rPr>
      <w:sz w:val="18"/>
      <w:szCs w:val="18"/>
    </w:rPr>
  </w:style>
  <w:style w:type="character" w:customStyle="1" w:styleId="16">
    <w:name w:val="日期 Char"/>
    <w:basedOn w:val="9"/>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1033</Words>
  <Characters>5892</Characters>
  <Lines>49</Lines>
  <Paragraphs>13</Paragraphs>
  <TotalTime>7</TotalTime>
  <ScaleCrop>false</ScaleCrop>
  <LinksUpToDate>false</LinksUpToDate>
  <CharactersWithSpaces>6912</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2021-03-06T05:01:00Z</dcterms:created>
  <dc:creator>pc</dc:creator>
  <cp:lastModifiedBy>greatwall</cp:lastModifiedBy>
  <cp:lastPrinted>2021-04-02T08:49:00Z</cp:lastPrinted>
  <dcterms:modified xsi:type="dcterms:W3CDTF">2021-04-21T11:21:07Z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