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40" w:rsidRDefault="00F72B2A">
      <w:pPr>
        <w:pStyle w:val="affffff4"/>
        <w:framePr w:wrap="around"/>
      </w:pPr>
      <w:r>
        <w:rPr>
          <w:rFonts w:ascii="Times New Roman"/>
        </w:rPr>
        <w:t>ICS</w:t>
      </w:r>
      <w:r>
        <w:rPr>
          <w:rFonts w:hAnsi="黑体"/>
        </w:rPr>
        <w:t> </w:t>
      </w:r>
    </w:p>
    <w:p w:rsidR="003B6C40" w:rsidRPr="000B2CB3" w:rsidRDefault="00F72B2A">
      <w:pPr>
        <w:pStyle w:val="affffff4"/>
        <w:framePr w:wrap="around"/>
        <w:rPr>
          <w:rFonts w:ascii="Times New Roman"/>
        </w:rPr>
      </w:pPr>
      <w:r w:rsidRPr="000B2CB3">
        <w:rPr>
          <w:rFonts w:ascii="Times New Roman"/>
        </w:rPr>
        <w:t>CCS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3B6C40">
        <w:tc>
          <w:tcPr>
            <w:tcW w:w="9854" w:type="dxa"/>
            <w:tcBorders>
              <w:top w:val="nil"/>
              <w:left w:val="nil"/>
              <w:bottom w:val="nil"/>
              <w:right w:val="nil"/>
            </w:tcBorders>
            <w:shd w:val="clear" w:color="auto" w:fill="auto"/>
          </w:tcPr>
          <w:p w:rsidR="003B6C40" w:rsidRDefault="00F72B2A">
            <w:pPr>
              <w:pStyle w:val="affffff4"/>
              <w:framePr w:wrap="around"/>
            </w:pPr>
            <w:r>
              <w:rPr>
                <w:noProof/>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4445" t="3810" r="0"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rsidR="003B6C40" w:rsidRDefault="00F72B2A">
      <w:pPr>
        <w:pStyle w:val="afffff9"/>
        <w:framePr w:wrap="around"/>
      </w:pPr>
      <w:r>
        <w:t>DB3303</w:t>
      </w:r>
    </w:p>
    <w:p w:rsidR="003B6C40" w:rsidRDefault="00F72B2A">
      <w:pPr>
        <w:pStyle w:val="afffffa"/>
        <w:framePr w:wrap="around"/>
      </w:pPr>
      <w:r>
        <w:fldChar w:fldCharType="begin">
          <w:ffData>
            <w:name w:val="c4"/>
            <w:enabled/>
            <w:calcOnExit w:val="0"/>
            <w:textInput/>
          </w:ffData>
        </w:fldChar>
      </w:r>
      <w:bookmarkStart w:id="1" w:name="c4"/>
      <w:r>
        <w:instrText xml:space="preserve"> FORMTEXT </w:instrText>
      </w:r>
      <w:r>
        <w:fldChar w:fldCharType="separate"/>
      </w:r>
      <w:r>
        <w:rPr>
          <w:rFonts w:hint="eastAsia"/>
        </w:rPr>
        <w:t>温州市</w:t>
      </w:r>
      <w:r>
        <w:fldChar w:fldCharType="end"/>
      </w:r>
      <w:bookmarkEnd w:id="1"/>
      <w:r>
        <w:rPr>
          <w:rFonts w:hint="eastAsia"/>
        </w:rPr>
        <w:t>地方标准</w:t>
      </w:r>
    </w:p>
    <w:p w:rsidR="003B6C40" w:rsidRDefault="00F72B2A">
      <w:pPr>
        <w:pStyle w:val="21"/>
        <w:framePr w:wrap="around"/>
        <w:rPr>
          <w:rFonts w:hAnsi="黑体"/>
        </w:rPr>
      </w:pPr>
      <w:r>
        <w:rPr>
          <w:rFonts w:ascii="Times New Roman"/>
        </w:rPr>
        <w:t>DB 3303/T</w:t>
      </w:r>
      <w:r>
        <w:rPr>
          <w:rFonts w:hAnsi="黑体"/>
        </w:rPr>
        <w:t xml:space="preserve"> </w:t>
      </w:r>
      <w:r>
        <w:rPr>
          <w:rFonts w:hAnsi="黑体"/>
        </w:rPr>
        <w:fldChar w:fldCharType="begin">
          <w:ffData>
            <w:name w:val="StdNo1"/>
            <w:enabled/>
            <w:calcOnExit w:val="0"/>
            <w:textInput>
              <w:default w:val="XXXXX"/>
            </w:textInput>
          </w:ffData>
        </w:fldChar>
      </w:r>
      <w:bookmarkStart w:id="2" w:name="StdNo1"/>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2"/>
      <w:r>
        <w:rPr>
          <w:rFonts w:hAnsi="黑体"/>
        </w:rPr>
        <w:t>—</w:t>
      </w:r>
      <w:r>
        <w:rPr>
          <w:rFonts w:hAnsi="黑体"/>
        </w:rPr>
        <w:fldChar w:fldCharType="begin">
          <w:ffData>
            <w:name w:val="StdNo2"/>
            <w:enabled/>
            <w:calcOnExit w:val="0"/>
            <w:textInput>
              <w:default w:val="XXXX"/>
              <w:maxLength w:val="4"/>
            </w:textInput>
          </w:ffData>
        </w:fldChar>
      </w:r>
      <w:bookmarkStart w:id="3" w:name="StdNo2"/>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3B6C40">
        <w:tc>
          <w:tcPr>
            <w:tcW w:w="9356" w:type="dxa"/>
            <w:tcBorders>
              <w:top w:val="nil"/>
              <w:left w:val="nil"/>
              <w:bottom w:val="nil"/>
              <w:right w:val="nil"/>
            </w:tcBorders>
            <w:shd w:val="clear" w:color="auto" w:fill="auto"/>
          </w:tcPr>
          <w:p w:rsidR="003B6C40" w:rsidRDefault="00F72B2A">
            <w:pPr>
              <w:pStyle w:val="affff7"/>
              <w:framePr w:wrap="around"/>
            </w:pPr>
            <w:r>
              <w:rPr>
                <w:noProof/>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ffData>
              </w:fldChar>
            </w:r>
            <w:bookmarkStart w:id="4" w:name="DT"/>
            <w:r>
              <w:instrText xml:space="preserve"> FORMTEXT </w:instrText>
            </w:r>
            <w:r>
              <w:fldChar w:fldCharType="separate"/>
            </w:r>
            <w:r>
              <w:t>     </w:t>
            </w:r>
            <w:r>
              <w:fldChar w:fldCharType="end"/>
            </w:r>
            <w:bookmarkEnd w:id="4"/>
          </w:p>
        </w:tc>
      </w:tr>
    </w:tbl>
    <w:p w:rsidR="003B6C40" w:rsidRDefault="003B6C40">
      <w:pPr>
        <w:pStyle w:val="21"/>
        <w:framePr w:wrap="around"/>
        <w:rPr>
          <w:rFonts w:hAnsi="黑体"/>
        </w:rPr>
      </w:pPr>
    </w:p>
    <w:p w:rsidR="003B6C40" w:rsidRDefault="003B6C40">
      <w:pPr>
        <w:pStyle w:val="21"/>
        <w:framePr w:wrap="around"/>
        <w:rPr>
          <w:rFonts w:hAnsi="黑体"/>
        </w:rPr>
      </w:pPr>
    </w:p>
    <w:p w:rsidR="003B6C40" w:rsidRDefault="00F72B2A">
      <w:pPr>
        <w:pStyle w:val="affff8"/>
        <w:framePr w:h="5476" w:hRule="exact" w:wrap="around"/>
      </w:pPr>
      <w:r>
        <w:rPr>
          <w:rFonts w:hint="eastAsia"/>
        </w:rPr>
        <w:t>文化驿站服务规范</w:t>
      </w:r>
    </w:p>
    <w:p w:rsidR="003B6C40" w:rsidRDefault="00F72B2A">
      <w:pPr>
        <w:pStyle w:val="affff9"/>
        <w:framePr w:h="5476" w:hRule="exact" w:wrap="around"/>
      </w:pPr>
      <w:proofErr w:type="spellStart"/>
      <w:r>
        <w:rPr>
          <w:rFonts w:hint="eastAsia"/>
        </w:rPr>
        <w:t>Mannual</w:t>
      </w:r>
      <w:proofErr w:type="spellEnd"/>
      <w:r>
        <w:rPr>
          <w:rFonts w:hint="eastAsia"/>
        </w:rPr>
        <w:t xml:space="preserve"> of Service on Culture Community</w:t>
      </w:r>
    </w:p>
    <w:p w:rsidR="003B6C40" w:rsidRDefault="00F72B2A">
      <w:pPr>
        <w:pStyle w:val="affffa"/>
        <w:framePr w:h="5476" w:hRule="exact" w:wrap="around"/>
      </w:pPr>
      <w:r>
        <w:fldChar w:fldCharType="begin">
          <w:ffData>
            <w:name w:val="YZBS"/>
            <w:enabled/>
            <w:calcOnExit w:val="0"/>
            <w:textInput>
              <w:default w:val="点击此处添加与国际标准一致性程度的标识"/>
            </w:textInput>
          </w:ffData>
        </w:fldChar>
      </w:r>
      <w:bookmarkStart w:id="5" w:name="YZBS"/>
      <w:r>
        <w:instrText xml:space="preserve"> FORMTEXT </w:instrText>
      </w:r>
      <w:r>
        <w:fldChar w:fldCharType="separate"/>
      </w:r>
      <w:r>
        <w:rPr>
          <w:rFonts w:hint="eastAsia"/>
        </w:rPr>
        <w:t>点击此处添加与国际标准一致性程度的标识</w:t>
      </w:r>
      <w: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B6C40">
        <w:tc>
          <w:tcPr>
            <w:tcW w:w="9855" w:type="dxa"/>
            <w:tcBorders>
              <w:top w:val="nil"/>
              <w:left w:val="nil"/>
              <w:bottom w:val="nil"/>
              <w:right w:val="nil"/>
            </w:tcBorders>
            <w:shd w:val="clear" w:color="auto" w:fill="auto"/>
          </w:tcPr>
          <w:p w:rsidR="003B6C40" w:rsidRDefault="00F72B2A">
            <w:pPr>
              <w:pStyle w:val="affffb"/>
              <w:framePr w:h="5476" w:hRule="exact" w:wrap="around"/>
            </w:pPr>
            <w:r>
              <w:rPr>
                <w:noProof/>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fill on="t" focussize="0,0"/>
                      <v:stroke on="f"/>
                      <v:imagedata o:title=""/>
                      <o:lock v:ext="edit" aspectratio="f"/>
                    </v:rect>
                  </w:pict>
                </mc:Fallback>
              </mc:AlternateContent>
            </w:r>
            <w:r>
              <w:rPr>
                <w:rFonts w:hint="eastAsia"/>
              </w:rPr>
              <w:t>征求意见稿</w:t>
            </w:r>
          </w:p>
        </w:tc>
      </w:tr>
      <w:tr w:rsidR="003B6C40">
        <w:tc>
          <w:tcPr>
            <w:tcW w:w="9855" w:type="dxa"/>
            <w:tcBorders>
              <w:top w:val="nil"/>
              <w:left w:val="nil"/>
              <w:bottom w:val="nil"/>
              <w:right w:val="nil"/>
            </w:tcBorders>
            <w:shd w:val="clear" w:color="auto" w:fill="auto"/>
          </w:tcPr>
          <w:p w:rsidR="003B6C40" w:rsidRDefault="00F72B2A">
            <w:pPr>
              <w:pStyle w:val="affffc"/>
              <w:framePr w:h="5476" w:hRule="exact" w:wrap="around"/>
            </w:pPr>
            <w:r>
              <w:fldChar w:fldCharType="begin">
                <w:ffData>
                  <w:name w:val="WCRQ"/>
                  <w:enabled/>
                  <w:calcOnExit w:val="0"/>
                  <w:textInput/>
                </w:ffData>
              </w:fldChar>
            </w:r>
            <w:bookmarkStart w:id="6" w:name="WCRQ"/>
            <w:r>
              <w:instrText xml:space="preserve"> FORMTEXT </w:instrText>
            </w:r>
            <w:r>
              <w:fldChar w:fldCharType="separate"/>
            </w:r>
            <w:r>
              <w:t>     </w:t>
            </w:r>
            <w:r>
              <w:fldChar w:fldCharType="end"/>
            </w:r>
            <w:bookmarkEnd w:id="6"/>
          </w:p>
        </w:tc>
      </w:tr>
    </w:tbl>
    <w:p w:rsidR="003B6C40" w:rsidRDefault="00F72B2A">
      <w:pPr>
        <w:pStyle w:val="affffff9"/>
        <w:framePr w:w="2896" w:wrap="around" w:hAnchor="page" w:x="1456" w:y="14431"/>
      </w:pPr>
      <w:r>
        <w:rPr>
          <w:rFonts w:ascii="黑体" w:hint="eastAsia"/>
        </w:rPr>
        <w:t>2021</w:t>
      </w:r>
      <w:r>
        <w:t xml:space="preserve"> </w:t>
      </w:r>
      <w:r>
        <w:rPr>
          <w:rFonts w:ascii="黑体"/>
        </w:rPr>
        <w:t>-XX</w:t>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7"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rPr>
          <w:rFonts w:hint="eastAsia"/>
        </w:rPr>
        <w:t>发布</w:t>
      </w:r>
      <w:r>
        <w:rPr>
          <w:noProof/>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Ddlmv3KAQAAoAMAAA4AAAAAAAAAAQAgAAAAJQEAAGRy&#10;cy9lMm9Eb2MueG1sUEsFBgAAAAAGAAYAWQEAAGEFAAAAAA==&#10;">
                <v:fill on="f" focussize="0,0"/>
                <v:stroke color="#000000" joinstyle="round"/>
                <v:imagedata o:title=""/>
                <o:lock v:ext="edit" aspectratio="f"/>
                <w10:anchorlock/>
              </v:line>
            </w:pict>
          </mc:Fallback>
        </mc:AlternateContent>
      </w:r>
      <w:r>
        <w:rPr>
          <w:rFonts w:hint="eastAsia"/>
        </w:rPr>
        <w:t xml:space="preserve"> </w:t>
      </w:r>
    </w:p>
    <w:p w:rsidR="003B6C40" w:rsidRDefault="00F72B2A">
      <w:pPr>
        <w:pStyle w:val="affffffa"/>
        <w:framePr w:w="3511" w:wrap="around" w:hAnchor="page" w:x="8410" w:y="14416"/>
        <w:ind w:leftChars="-3375" w:left="-7088" w:rightChars="456" w:right="958"/>
      </w:pPr>
      <w:r>
        <w:rPr>
          <w:rFonts w:ascii="黑体" w:hint="eastAsia"/>
        </w:rPr>
        <w:t>2021</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8"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实施</w:t>
      </w:r>
    </w:p>
    <w:p w:rsidR="003B6C40" w:rsidRDefault="00F72B2A">
      <w:pPr>
        <w:pStyle w:val="afffffb"/>
        <w:framePr w:wrap="around"/>
      </w:pPr>
      <w:r>
        <w:rPr>
          <w:rFonts w:hint="eastAsia"/>
        </w:rPr>
        <w:t>温州市市场监督管理局</w:t>
      </w:r>
      <w:r>
        <w:rPr>
          <w:rFonts w:hAnsi="黑体"/>
        </w:rPr>
        <w:t>   </w:t>
      </w:r>
      <w:r>
        <w:rPr>
          <w:rStyle w:val="affff4"/>
          <w:rFonts w:hint="eastAsia"/>
        </w:rPr>
        <w:t>发布</w:t>
      </w:r>
    </w:p>
    <w:p w:rsidR="003B6C40" w:rsidRDefault="00F72B2A">
      <w:pPr>
        <w:pStyle w:val="affe"/>
        <w:sectPr w:rsidR="003B6C40">
          <w:headerReference w:type="even" r:id="rId10"/>
          <w:footerReference w:type="even" r:id="rId11"/>
          <w:pgSz w:w="11906" w:h="16838"/>
          <w:pgMar w:top="567" w:right="1134" w:bottom="1134" w:left="1417" w:header="0" w:footer="0" w:gutter="0"/>
          <w:pgNumType w:start="1"/>
          <w:cols w:space="425"/>
          <w:docGrid w:type="lines" w:linePitch="312"/>
        </w:sectPr>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9142095</wp:posOffset>
                </wp:positionV>
                <wp:extent cx="6120130" cy="0"/>
                <wp:effectExtent l="0" t="0" r="3302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top:719.85pt;height:0pt;width:481.9pt;mso-position-horizontal:left;mso-position-horizontal-relative:margin;z-index:251665408;mso-width-relative:page;mso-height-relative:page;" filled="f" stroked="t" coordsize="21600,21600" o:gfxdata="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9xF5NUAAAAKAQAADwAAAAAAAAABACAAAAAiAAAAZHJzL2Rvd25y&#10;ZXYueG1sUEsBAhQAFAAAAAgAh07iQOf/YNXIAQAAoAMAAA4AAAAAAAAAAQAgAAAAJAEAAGRycy9l&#10;Mm9Eb2MueG1sUEsFBgAAAAAGAAYAWQEAAF4F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p>
    <w:p w:rsidR="003B6C40" w:rsidRDefault="00F72B2A">
      <w:pPr>
        <w:pStyle w:val="afffffc"/>
      </w:pPr>
      <w:r>
        <w:rPr>
          <w:rFonts w:hint="eastAsia"/>
        </w:rPr>
        <w:lastRenderedPageBreak/>
        <w:t>前</w:t>
      </w:r>
      <w:bookmarkStart w:id="9" w:name="BKQY"/>
      <w:r>
        <w:rPr>
          <w:rFonts w:hAnsi="黑体"/>
        </w:rPr>
        <w:t>  </w:t>
      </w:r>
      <w:r>
        <w:rPr>
          <w:rFonts w:hint="eastAsia"/>
        </w:rPr>
        <w:t>言</w:t>
      </w:r>
      <w:bookmarkEnd w:id="9"/>
    </w:p>
    <w:p w:rsidR="003B6C40" w:rsidRDefault="00F72B2A">
      <w:pPr>
        <w:pStyle w:val="affe"/>
      </w:pPr>
      <w:r>
        <w:rPr>
          <w:rFonts w:hint="eastAsia"/>
        </w:rPr>
        <w:t>本文件按照</w:t>
      </w:r>
      <w:r>
        <w:rPr>
          <w:rFonts w:ascii="Times New Roman"/>
        </w:rPr>
        <w:t>GB/T 1.1—2020</w:t>
      </w:r>
      <w:r>
        <w:rPr>
          <w:rFonts w:hint="eastAsia"/>
        </w:rPr>
        <w:t>《标准化工作导则  第1部分：标准化文件的结构和起草规则》的规定起草。</w:t>
      </w:r>
    </w:p>
    <w:p w:rsidR="003B6C40" w:rsidRDefault="00F72B2A">
      <w:pPr>
        <w:pStyle w:val="affe"/>
      </w:pPr>
      <w:r>
        <w:rPr>
          <w:rFonts w:hint="eastAsia"/>
        </w:rPr>
        <w:t xml:space="preserve">请注意本文件的某些内容可能涉及专利。本文件的发布机构不承担识别专利的责任。 </w:t>
      </w:r>
    </w:p>
    <w:p w:rsidR="003B6C40" w:rsidRDefault="00F72B2A">
      <w:pPr>
        <w:pStyle w:val="affe"/>
      </w:pPr>
      <w:r>
        <w:rPr>
          <w:rFonts w:hint="eastAsia"/>
        </w:rPr>
        <w:t>本文件由</w:t>
      </w:r>
      <w:r>
        <w:rPr>
          <w:rFonts w:hAnsi="宋体" w:cs="宋体" w:hint="eastAsia"/>
          <w:szCs w:val="21"/>
        </w:rPr>
        <w:t>温州市文化广电旅游局</w:t>
      </w:r>
      <w:r>
        <w:rPr>
          <w:rFonts w:hint="eastAsia"/>
        </w:rPr>
        <w:t xml:space="preserve">提出及归口。 </w:t>
      </w:r>
    </w:p>
    <w:p w:rsidR="003B6C40" w:rsidRDefault="00F72B2A">
      <w:pPr>
        <w:pStyle w:val="affe"/>
      </w:pPr>
      <w:r>
        <w:rPr>
          <w:rFonts w:hint="eastAsia"/>
        </w:rPr>
        <w:t>本文件起草单位：温州市文化馆，温州市标准化科学研究院。</w:t>
      </w:r>
    </w:p>
    <w:p w:rsidR="003B6C40" w:rsidRDefault="00F72B2A">
      <w:pPr>
        <w:pStyle w:val="affe"/>
        <w:rPr>
          <w:szCs w:val="22"/>
        </w:rPr>
      </w:pPr>
      <w:r>
        <w:rPr>
          <w:rFonts w:hint="eastAsia"/>
          <w:szCs w:val="22"/>
        </w:rPr>
        <w:t>本文件主要起草人：</w:t>
      </w:r>
      <w:r>
        <w:rPr>
          <w:szCs w:val="22"/>
        </w:rPr>
        <w:t xml:space="preserve"> </w:t>
      </w:r>
    </w:p>
    <w:p w:rsidR="003B6C40" w:rsidRDefault="003B6C40">
      <w:pPr>
        <w:pStyle w:val="affe"/>
        <w:rPr>
          <w:szCs w:val="22"/>
        </w:rPr>
      </w:pPr>
    </w:p>
    <w:p w:rsidR="003B6C40" w:rsidRDefault="003B6C40">
      <w:pPr>
        <w:pStyle w:val="affe"/>
        <w:ind w:firstLineChars="0" w:firstLine="0"/>
        <w:sectPr w:rsidR="003B6C40">
          <w:headerReference w:type="default" r:id="rId12"/>
          <w:footerReference w:type="default" r:id="rId13"/>
          <w:pgSz w:w="11906" w:h="16838"/>
          <w:pgMar w:top="567" w:right="1134" w:bottom="1134" w:left="1417" w:header="1418" w:footer="1134" w:gutter="0"/>
          <w:pgNumType w:fmt="upperRoman" w:start="1"/>
          <w:cols w:space="425"/>
          <w:formProt w:val="0"/>
          <w:docGrid w:type="lines" w:linePitch="312"/>
        </w:sectPr>
      </w:pPr>
    </w:p>
    <w:p w:rsidR="003B6C40" w:rsidRDefault="00F72B2A">
      <w:pPr>
        <w:pStyle w:val="afff9"/>
      </w:pPr>
      <w:r>
        <w:rPr>
          <w:rFonts w:hint="eastAsia"/>
        </w:rPr>
        <w:lastRenderedPageBreak/>
        <w:t>文化驿站服务规范</w:t>
      </w:r>
    </w:p>
    <w:p w:rsidR="003B6C40" w:rsidRDefault="00F72B2A">
      <w:pPr>
        <w:pStyle w:val="a4"/>
      </w:pPr>
      <w:r>
        <w:rPr>
          <w:rFonts w:hint="eastAsia"/>
        </w:rPr>
        <w:t>范围</w:t>
      </w:r>
    </w:p>
    <w:p w:rsidR="003B6C40" w:rsidRDefault="00F72B2A">
      <w:pPr>
        <w:pStyle w:val="affe"/>
        <w:rPr>
          <w:szCs w:val="22"/>
        </w:rPr>
      </w:pPr>
      <w:r>
        <w:rPr>
          <w:rFonts w:hint="eastAsia"/>
        </w:rPr>
        <w:t>本文件规定了文化驿站的分类、</w:t>
      </w:r>
      <w:r>
        <w:t>服务的</w:t>
      </w:r>
      <w:r>
        <w:rPr>
          <w:rFonts w:hint="eastAsia"/>
        </w:rPr>
        <w:t>总体原则</w:t>
      </w:r>
      <w:r>
        <w:t>和</w:t>
      </w:r>
      <w:r>
        <w:rPr>
          <w:rFonts w:hint="eastAsia"/>
        </w:rPr>
        <w:t>要</w:t>
      </w:r>
      <w:r>
        <w:rPr>
          <w:rFonts w:hint="eastAsia"/>
          <w:szCs w:val="22"/>
        </w:rPr>
        <w:t>求、布局、设施设备</w:t>
      </w:r>
      <w:r>
        <w:rPr>
          <w:szCs w:val="22"/>
        </w:rPr>
        <w:t>、</w:t>
      </w:r>
      <w:r>
        <w:rPr>
          <w:rFonts w:hint="eastAsia"/>
          <w:szCs w:val="22"/>
        </w:rPr>
        <w:t>人员、服务内容、服务</w:t>
      </w:r>
      <w:r>
        <w:rPr>
          <w:szCs w:val="22"/>
        </w:rPr>
        <w:t>要求</w:t>
      </w:r>
      <w:r>
        <w:rPr>
          <w:rFonts w:hint="eastAsia"/>
          <w:szCs w:val="22"/>
        </w:rPr>
        <w:t>、服务监督与评价。</w:t>
      </w:r>
    </w:p>
    <w:p w:rsidR="003B6C40" w:rsidRDefault="00F72B2A">
      <w:pPr>
        <w:pStyle w:val="affe"/>
        <w:rPr>
          <w:szCs w:val="22"/>
        </w:rPr>
      </w:pPr>
      <w:r>
        <w:rPr>
          <w:rFonts w:hint="eastAsia"/>
          <w:szCs w:val="22"/>
        </w:rPr>
        <w:t>本文件适用于温州市行政区域内的文化驿站，其他的场馆型文化中心可参照执行。</w:t>
      </w:r>
    </w:p>
    <w:p w:rsidR="003B6C40" w:rsidRDefault="00F72B2A">
      <w:pPr>
        <w:pStyle w:val="a4"/>
      </w:pPr>
      <w:r>
        <w:rPr>
          <w:rFonts w:hint="eastAsia"/>
        </w:rPr>
        <w:t>规范性引用文件</w:t>
      </w:r>
    </w:p>
    <w:p w:rsidR="003B6C40" w:rsidRDefault="00F72B2A">
      <w:pPr>
        <w:pStyle w:val="a4"/>
        <w:numPr>
          <w:ilvl w:val="0"/>
          <w:numId w:val="0"/>
        </w:numPr>
        <w:ind w:firstLineChars="200" w:firstLine="420"/>
        <w:rPr>
          <w:rFonts w:ascii="宋体" w:eastAsia="宋体"/>
        </w:rPr>
      </w:pPr>
      <w:r>
        <w:rPr>
          <w:rFonts w:ascii="宋体" w:eastAsia="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41DF2" w:rsidRDefault="00A41DF2" w:rsidP="00A41DF2">
      <w:pPr>
        <w:pStyle w:val="affe"/>
      </w:pPr>
      <w:r>
        <w:rPr>
          <w:rFonts w:hint="eastAsia"/>
        </w:rPr>
        <w:t>GB/T 10001.1  公共信息图形符号 第1部分：通用符号</w:t>
      </w:r>
    </w:p>
    <w:p w:rsidR="003B6C40" w:rsidRDefault="00F72B2A">
      <w:pPr>
        <w:pStyle w:val="affe"/>
      </w:pPr>
      <w:r>
        <w:rPr>
          <w:rFonts w:hint="eastAsia"/>
        </w:rPr>
        <w:t>GB 50016  建筑设计防火规范</w:t>
      </w:r>
    </w:p>
    <w:p w:rsidR="003B6C40" w:rsidRDefault="00F72B2A">
      <w:pPr>
        <w:pStyle w:val="affe"/>
      </w:pPr>
      <w:r>
        <w:rPr>
          <w:rFonts w:hint="eastAsia"/>
        </w:rPr>
        <w:t>GB 50140  建筑灭火器配置设计规范</w:t>
      </w:r>
    </w:p>
    <w:p w:rsidR="003B6C40" w:rsidRDefault="00F72B2A">
      <w:pPr>
        <w:pStyle w:val="affe"/>
      </w:pPr>
      <w:r>
        <w:rPr>
          <w:rFonts w:hint="eastAsia"/>
        </w:rPr>
        <w:t>GB 50763  无障碍设计规范</w:t>
      </w:r>
    </w:p>
    <w:p w:rsidR="003B6C40" w:rsidRDefault="00F72B2A">
      <w:pPr>
        <w:pStyle w:val="a4"/>
      </w:pPr>
      <w:r>
        <w:rPr>
          <w:rFonts w:hint="eastAsia"/>
        </w:rPr>
        <w:t>术语和定义</w:t>
      </w:r>
    </w:p>
    <w:p w:rsidR="003B6C40" w:rsidRDefault="00F72B2A">
      <w:pPr>
        <w:pStyle w:val="a4"/>
        <w:numPr>
          <w:ilvl w:val="0"/>
          <w:numId w:val="0"/>
        </w:numPr>
        <w:ind w:firstLineChars="200" w:firstLine="420"/>
      </w:pPr>
      <w:r>
        <w:rPr>
          <w:rFonts w:ascii="宋体" w:eastAsia="宋体" w:hint="eastAsia"/>
        </w:rPr>
        <w:t>本文件没有需要界定的术语和定义。</w:t>
      </w:r>
    </w:p>
    <w:p w:rsidR="003B6C40" w:rsidRDefault="00F72B2A">
      <w:pPr>
        <w:pStyle w:val="a4"/>
      </w:pPr>
      <w:r>
        <w:rPr>
          <w:rFonts w:hint="eastAsia"/>
        </w:rPr>
        <w:t>分类</w:t>
      </w:r>
    </w:p>
    <w:p w:rsidR="003B6C40" w:rsidRDefault="00F72B2A">
      <w:pPr>
        <w:pStyle w:val="affe"/>
      </w:pPr>
      <w:r>
        <w:rPr>
          <w:rFonts w:hint="eastAsia"/>
        </w:rPr>
        <w:t>文化驿站站点</w:t>
      </w:r>
      <w:r>
        <w:t>分为</w:t>
      </w:r>
      <w:r>
        <w:rPr>
          <w:rFonts w:hint="eastAsia"/>
        </w:rPr>
        <w:t>以下五类</w:t>
      </w:r>
      <w:r>
        <w:t>：</w:t>
      </w:r>
    </w:p>
    <w:p w:rsidR="003B6C40" w:rsidRDefault="00F72B2A">
      <w:pPr>
        <w:pStyle w:val="ac"/>
      </w:pPr>
      <w:r>
        <w:rPr>
          <w:rFonts w:hint="eastAsia"/>
        </w:rPr>
        <w:t>市本级站点，在市本级</w:t>
      </w:r>
      <w:r>
        <w:t>公共文化场馆设施和资源</w:t>
      </w:r>
      <w:r>
        <w:rPr>
          <w:rFonts w:hint="eastAsia"/>
        </w:rPr>
        <w:t>基础</w:t>
      </w:r>
      <w:r>
        <w:t>上</w:t>
      </w:r>
      <w:r>
        <w:rPr>
          <w:rFonts w:hint="eastAsia"/>
        </w:rPr>
        <w:t>打造的</w:t>
      </w:r>
      <w:r>
        <w:t>文化驿站</w:t>
      </w:r>
      <w:r>
        <w:rPr>
          <w:rFonts w:hint="eastAsia"/>
        </w:rPr>
        <w:t>；</w:t>
      </w:r>
    </w:p>
    <w:p w:rsidR="003B6C40" w:rsidRDefault="00F72B2A">
      <w:pPr>
        <w:pStyle w:val="ac"/>
      </w:pPr>
      <w:r>
        <w:rPr>
          <w:rFonts w:hint="eastAsia"/>
        </w:rPr>
        <w:t>县（市、区）级站点</w:t>
      </w:r>
      <w:r>
        <w:rPr>
          <w:rFonts w:hint="eastAsia"/>
          <w:szCs w:val="22"/>
        </w:rPr>
        <w:t>，在县级公共文化场馆设施和资源基础上打造的文化驿站；</w:t>
      </w:r>
    </w:p>
    <w:p w:rsidR="003B6C40" w:rsidRDefault="00F72B2A">
      <w:pPr>
        <w:pStyle w:val="ac"/>
        <w:rPr>
          <w:szCs w:val="22"/>
        </w:rPr>
      </w:pPr>
      <w:r>
        <w:rPr>
          <w:rFonts w:hint="eastAsia"/>
        </w:rPr>
        <w:t>乡镇（街道）级</w:t>
      </w:r>
      <w:r>
        <w:rPr>
          <w:rFonts w:hint="eastAsia"/>
          <w:szCs w:val="22"/>
        </w:rPr>
        <w:t>站点，在各乡镇、街道现有综合文化站场馆内建设的文化驿站；</w:t>
      </w:r>
    </w:p>
    <w:p w:rsidR="003B6C40" w:rsidRDefault="00F72B2A">
      <w:pPr>
        <w:pStyle w:val="ac"/>
        <w:rPr>
          <w:szCs w:val="22"/>
        </w:rPr>
      </w:pPr>
      <w:r>
        <w:rPr>
          <w:rFonts w:hint="eastAsia"/>
          <w:szCs w:val="22"/>
        </w:rPr>
        <w:t>社会站点，在民间美术馆、私人博物馆、影剧院、书店、民宿等各类社会场馆设施和资源基础上打造的文化驿站；</w:t>
      </w:r>
    </w:p>
    <w:p w:rsidR="003B6C40" w:rsidRDefault="00F72B2A">
      <w:pPr>
        <w:pStyle w:val="ac"/>
        <w:numPr>
          <w:ilvl w:val="0"/>
          <w:numId w:val="0"/>
        </w:numPr>
        <w:ind w:left="420"/>
        <w:rPr>
          <w:szCs w:val="22"/>
        </w:rPr>
      </w:pPr>
      <w:r>
        <w:rPr>
          <w:rFonts w:hint="eastAsia"/>
          <w:szCs w:val="22"/>
        </w:rPr>
        <w:t>——村级服务点，在设施条件较为薄弱的行政村设立的文化驿站服务点，根据需求向所在县（市、区）区域站长</w:t>
      </w:r>
      <w:proofErr w:type="gramStart"/>
      <w:r>
        <w:rPr>
          <w:rFonts w:hint="eastAsia"/>
          <w:szCs w:val="22"/>
        </w:rPr>
        <w:t>提交点单配送</w:t>
      </w:r>
      <w:proofErr w:type="gramEnd"/>
      <w:r>
        <w:rPr>
          <w:rFonts w:hint="eastAsia"/>
          <w:szCs w:val="22"/>
        </w:rPr>
        <w:t>服务申请。</w:t>
      </w:r>
    </w:p>
    <w:p w:rsidR="003B6C40" w:rsidRDefault="00F72B2A">
      <w:pPr>
        <w:pStyle w:val="a4"/>
        <w:rPr>
          <w:szCs w:val="22"/>
        </w:rPr>
      </w:pPr>
      <w:r>
        <w:rPr>
          <w:rFonts w:hint="eastAsia"/>
          <w:szCs w:val="22"/>
        </w:rPr>
        <w:t>总体原则和要求</w:t>
      </w:r>
    </w:p>
    <w:p w:rsidR="003B6C40" w:rsidRDefault="00F72B2A">
      <w:pPr>
        <w:pStyle w:val="affffff6"/>
        <w:ind w:left="0"/>
      </w:pPr>
      <w:r>
        <w:rPr>
          <w:rFonts w:hint="eastAsia"/>
        </w:rPr>
        <w:t>在遵循以时尚化、休闲式、体验版、互动型、文艺范为基础定位的</w:t>
      </w:r>
      <w:r>
        <w:t>前提下</w:t>
      </w:r>
      <w:r>
        <w:rPr>
          <w:rFonts w:hint="eastAsia"/>
        </w:rPr>
        <w:t>，开展文化分享、艺术学习、互动交流、</w:t>
      </w:r>
      <w:proofErr w:type="gramStart"/>
      <w:r>
        <w:rPr>
          <w:rFonts w:hint="eastAsia"/>
        </w:rPr>
        <w:t>文旅资讯</w:t>
      </w:r>
      <w:proofErr w:type="gramEnd"/>
      <w:r>
        <w:rPr>
          <w:rFonts w:hint="eastAsia"/>
        </w:rPr>
        <w:t>获取等多种形式的</w:t>
      </w:r>
      <w:r>
        <w:t>服务</w:t>
      </w:r>
      <w:r>
        <w:rPr>
          <w:rFonts w:hint="eastAsia"/>
        </w:rPr>
        <w:t>。</w:t>
      </w:r>
    </w:p>
    <w:p w:rsidR="003B6C40" w:rsidRDefault="00F72B2A">
      <w:pPr>
        <w:pStyle w:val="affffff6"/>
        <w:ind w:left="0"/>
      </w:pPr>
      <w:r>
        <w:rPr>
          <w:rFonts w:hint="eastAsia"/>
        </w:rPr>
        <w:lastRenderedPageBreak/>
        <w:t>在遵循“标识统一，风格不拘”的前提</w:t>
      </w:r>
      <w:r>
        <w:t>下</w:t>
      </w:r>
      <w:r>
        <w:rPr>
          <w:rFonts w:hint="eastAsia"/>
        </w:rPr>
        <w:t>，整体设计注重年轻群体审美品味，时尚精致、舒适温馨。同时，宜结合所在区域的人文精神、社区生活风格凸显站点特色，体现“一站一品”。</w:t>
      </w:r>
    </w:p>
    <w:p w:rsidR="003B6C40" w:rsidRDefault="00F72B2A">
      <w:pPr>
        <w:pStyle w:val="affffff6"/>
        <w:ind w:left="0"/>
      </w:pPr>
      <w:r>
        <w:rPr>
          <w:rFonts w:hint="eastAsia"/>
        </w:rPr>
        <w:t>文化驿站服务应依托现有文化设施，采用空间嵌入、分时利用的方式，融入到全市各级公共文化场馆、各类可用作公益的社会场地设施当中。</w:t>
      </w:r>
    </w:p>
    <w:p w:rsidR="003B6C40" w:rsidRDefault="00F72B2A">
      <w:pPr>
        <w:pStyle w:val="affffff6"/>
        <w:ind w:left="0"/>
      </w:pPr>
      <w:r>
        <w:rPr>
          <w:rFonts w:hint="eastAsia"/>
        </w:rPr>
        <w:t>应在品牌宣传、资源配送、人才培训等方面统一管理，实施全市站点一体化连锁运营。</w:t>
      </w:r>
    </w:p>
    <w:p w:rsidR="003B6C40" w:rsidRDefault="00F72B2A">
      <w:pPr>
        <w:pStyle w:val="affffff6"/>
        <w:ind w:left="0"/>
      </w:pPr>
      <w:r>
        <w:rPr>
          <w:rFonts w:hint="eastAsia"/>
        </w:rPr>
        <w:t>通过政府采购、社会征集、站长推荐等方式，建立共建共享、</w:t>
      </w:r>
      <w:proofErr w:type="gramStart"/>
      <w:r>
        <w:rPr>
          <w:rFonts w:hint="eastAsia"/>
        </w:rPr>
        <w:t>点单配送</w:t>
      </w:r>
      <w:proofErr w:type="gramEnd"/>
      <w:r>
        <w:rPr>
          <w:rFonts w:hint="eastAsia"/>
        </w:rPr>
        <w:t>的文化驿站资源库。</w:t>
      </w:r>
    </w:p>
    <w:p w:rsidR="003B6C40" w:rsidRDefault="00F72B2A">
      <w:pPr>
        <w:pStyle w:val="a4"/>
        <w:rPr>
          <w:szCs w:val="22"/>
        </w:rPr>
      </w:pPr>
      <w:r>
        <w:rPr>
          <w:rFonts w:hint="eastAsia"/>
        </w:rPr>
        <w:t>站点布局</w:t>
      </w:r>
    </w:p>
    <w:p w:rsidR="003B6C40" w:rsidRDefault="00F72B2A">
      <w:pPr>
        <w:pStyle w:val="affffff6"/>
        <w:ind w:left="0"/>
      </w:pPr>
      <w:proofErr w:type="gramStart"/>
      <w:r>
        <w:rPr>
          <w:rFonts w:hint="eastAsia"/>
        </w:rPr>
        <w:t>宜位于</w:t>
      </w:r>
      <w:proofErr w:type="gramEnd"/>
      <w:r>
        <w:rPr>
          <w:rFonts w:hint="eastAsia"/>
        </w:rPr>
        <w:t>人口集中、交通便利的区域，应有相对独立的封闭或半封闭空间。</w:t>
      </w:r>
    </w:p>
    <w:p w:rsidR="003B6C40" w:rsidRDefault="00F72B2A">
      <w:pPr>
        <w:pStyle w:val="affffff6"/>
        <w:ind w:left="0"/>
      </w:pPr>
      <w:r>
        <w:rPr>
          <w:rFonts w:hint="eastAsia"/>
        </w:rPr>
        <w:t>总建筑面积宜为150m</w:t>
      </w:r>
      <w:r>
        <w:rPr>
          <w:rFonts w:hint="eastAsia"/>
          <w:vertAlign w:val="superscript"/>
        </w:rPr>
        <w:t>2</w:t>
      </w:r>
      <w:r>
        <w:rPr>
          <w:rFonts w:hint="eastAsia"/>
        </w:rPr>
        <w:t>至500m</w:t>
      </w:r>
      <w:r>
        <w:rPr>
          <w:rFonts w:hint="eastAsia"/>
          <w:vertAlign w:val="superscript"/>
        </w:rPr>
        <w:t>2</w:t>
      </w:r>
      <w:r>
        <w:rPr>
          <w:rFonts w:hint="eastAsia"/>
        </w:rPr>
        <w:t>，观众</w:t>
      </w:r>
      <w:proofErr w:type="gramStart"/>
      <w:r>
        <w:rPr>
          <w:rFonts w:hint="eastAsia"/>
        </w:rPr>
        <w:t>座席</w:t>
      </w:r>
      <w:proofErr w:type="gramEnd"/>
      <w:r>
        <w:rPr>
          <w:rFonts w:hint="eastAsia"/>
        </w:rPr>
        <w:t>不应少于30座。</w:t>
      </w:r>
    </w:p>
    <w:p w:rsidR="003B6C40" w:rsidRDefault="00F72B2A">
      <w:pPr>
        <w:pStyle w:val="affffff6"/>
        <w:ind w:left="0"/>
      </w:pPr>
      <w:r>
        <w:rPr>
          <w:rFonts w:hint="eastAsia"/>
        </w:rPr>
        <w:t>文化驿站</w:t>
      </w:r>
      <w:r>
        <w:rPr>
          <w:rFonts w:hint="eastAsia"/>
          <w:szCs w:val="22"/>
        </w:rPr>
        <w:t>标牌应悬挂于建筑外立面醒目位置，宜具备夜视功能。</w:t>
      </w:r>
    </w:p>
    <w:p w:rsidR="003B6C40" w:rsidRDefault="00F72B2A">
      <w:pPr>
        <w:pStyle w:val="affffff6"/>
        <w:ind w:left="0"/>
      </w:pPr>
      <w:r>
        <w:rPr>
          <w:rFonts w:hint="eastAsia"/>
        </w:rPr>
        <w:t>形象标识应</w:t>
      </w:r>
      <w:r>
        <w:t>符合图</w:t>
      </w:r>
      <w:r>
        <w:rPr>
          <w:rFonts w:hint="eastAsia"/>
        </w:rPr>
        <w:t>1要求，中文名称为“文化驿站”，对应</w:t>
      </w:r>
      <w:r>
        <w:t>的</w:t>
      </w:r>
      <w:r>
        <w:rPr>
          <w:rFonts w:hint="eastAsia"/>
        </w:rPr>
        <w:t>英文名称</w:t>
      </w:r>
      <w:r>
        <w:t>为</w:t>
      </w:r>
      <w:r>
        <w:rPr>
          <w:rFonts w:hint="eastAsia"/>
        </w:rPr>
        <w:t>“culture community”，色调采取</w:t>
      </w:r>
      <w:proofErr w:type="spellStart"/>
      <w:r>
        <w:rPr>
          <w:rFonts w:hint="eastAsia"/>
        </w:rPr>
        <w:t>cmyk</w:t>
      </w:r>
      <w:proofErr w:type="spellEnd"/>
      <w:r>
        <w:rPr>
          <w:rFonts w:hint="eastAsia"/>
        </w:rPr>
        <w:t xml:space="preserve">：79 81 83 67 和 </w:t>
      </w:r>
      <w:proofErr w:type="spellStart"/>
      <w:r>
        <w:rPr>
          <w:rFonts w:hint="eastAsia"/>
        </w:rPr>
        <w:t>cmyk</w:t>
      </w:r>
      <w:proofErr w:type="spellEnd"/>
      <w:r>
        <w:rPr>
          <w:rFonts w:hint="eastAsia"/>
        </w:rPr>
        <w:t>：25 93 84 0。</w:t>
      </w:r>
    </w:p>
    <w:p w:rsidR="003B6C40" w:rsidRDefault="00F72B2A">
      <w:pPr>
        <w:pStyle w:val="affffff6"/>
        <w:ind w:left="0"/>
      </w:pPr>
      <w:r>
        <w:rPr>
          <w:rFonts w:hint="eastAsia"/>
        </w:rPr>
        <w:t>其他相关标识应符合GB/T 10001.1要求。</w:t>
      </w:r>
    </w:p>
    <w:p w:rsidR="003B6C40" w:rsidRDefault="00F72B2A">
      <w:pPr>
        <w:pStyle w:val="affffff6"/>
        <w:ind w:left="0"/>
      </w:pPr>
      <w:r>
        <w:rPr>
          <w:rFonts w:hint="eastAsia"/>
        </w:rPr>
        <w:t>场所入口应设立醒目的指向牌，标明文化驿站</w:t>
      </w:r>
      <w:r>
        <w:t>内部</w:t>
      </w:r>
      <w:r>
        <w:rPr>
          <w:rFonts w:hint="eastAsia"/>
        </w:rPr>
        <w:t>各功能区域分布及服务项目。</w:t>
      </w:r>
    </w:p>
    <w:p w:rsidR="003B6C40" w:rsidRDefault="00F72B2A">
      <w:pPr>
        <w:pStyle w:val="affffff6"/>
        <w:ind w:left="0"/>
      </w:pPr>
      <w:r>
        <w:rPr>
          <w:rFonts w:hint="eastAsia"/>
          <w:noProof/>
        </w:rPr>
        <w:drawing>
          <wp:anchor distT="0" distB="0" distL="114300" distR="114300" simplePos="0" relativeHeight="251676672" behindDoc="0" locked="0" layoutInCell="1" allowOverlap="1">
            <wp:simplePos x="0" y="0"/>
            <wp:positionH relativeFrom="column">
              <wp:posOffset>3108960</wp:posOffset>
            </wp:positionH>
            <wp:positionV relativeFrom="paragraph">
              <wp:posOffset>558800</wp:posOffset>
            </wp:positionV>
            <wp:extent cx="2683510" cy="1866900"/>
            <wp:effectExtent l="0" t="0" r="254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83510" cy="1866900"/>
                    </a:xfrm>
                    <a:prstGeom prst="rect">
                      <a:avLst/>
                    </a:prstGeom>
                    <a:noFill/>
                    <a:ln>
                      <a:noFill/>
                    </a:ln>
                    <a:effectLst/>
                  </pic:spPr>
                </pic:pic>
              </a:graphicData>
            </a:graphic>
          </wp:anchor>
        </w:drawing>
      </w: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551815</wp:posOffset>
            </wp:positionV>
            <wp:extent cx="2809875" cy="1859915"/>
            <wp:effectExtent l="0" t="0" r="9525" b="698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09875" cy="1859915"/>
                    </a:xfrm>
                    <a:prstGeom prst="rect">
                      <a:avLst/>
                    </a:prstGeom>
                    <a:noFill/>
                    <a:ln>
                      <a:noFill/>
                    </a:ln>
                    <a:effectLst/>
                  </pic:spPr>
                </pic:pic>
              </a:graphicData>
            </a:graphic>
          </wp:anchor>
        </w:drawing>
      </w:r>
      <w:r>
        <w:rPr>
          <w:rFonts w:hint="eastAsia"/>
        </w:rPr>
        <w:t>内部功能区域应按照表1要求进行布局，核心分享区面积不应小于12㎡。在应设区域的基础上，根据文化驿站层级、区域、服务需求等实际情况，设置个性化、特色化的其他区域。</w:t>
      </w:r>
    </w:p>
    <w:p w:rsidR="003B6C40" w:rsidRDefault="00F72B2A">
      <w:pPr>
        <w:pStyle w:val="af4"/>
        <w:numPr>
          <w:ilvl w:val="0"/>
          <w:numId w:val="0"/>
        </w:numPr>
        <w:rPr>
          <w:szCs w:val="22"/>
        </w:rPr>
      </w:pPr>
      <w:r>
        <w:rPr>
          <w:rFonts w:hint="eastAsia"/>
          <w:szCs w:val="22"/>
        </w:rPr>
        <w:t>图1 文化驿站形象标识</w:t>
      </w:r>
    </w:p>
    <w:p w:rsidR="003B6C40" w:rsidRDefault="003B6C40">
      <w:pPr>
        <w:pStyle w:val="affe"/>
      </w:pPr>
    </w:p>
    <w:p w:rsidR="003B6C40" w:rsidRDefault="00F72B2A">
      <w:pPr>
        <w:pStyle w:val="af7"/>
      </w:pPr>
      <w:r>
        <w:rPr>
          <w:rFonts w:hint="eastAsia"/>
        </w:rPr>
        <w:t>文化驿站功能区域布局</w:t>
      </w:r>
    </w:p>
    <w:tbl>
      <w:tblPr>
        <w:tblW w:w="4994" w:type="pct"/>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833"/>
        <w:gridCol w:w="2693"/>
        <w:gridCol w:w="3687"/>
        <w:gridCol w:w="1111"/>
      </w:tblGrid>
      <w:tr w:rsidR="003B6C40">
        <w:trPr>
          <w:trHeight w:val="340"/>
          <w:jc w:val="center"/>
        </w:trPr>
        <w:tc>
          <w:tcPr>
            <w:tcW w:w="1833" w:type="dxa"/>
            <w:tcBorders>
              <w:top w:val="single" w:sz="8" w:space="0" w:color="auto"/>
              <w:bottom w:val="single" w:sz="8" w:space="0" w:color="auto"/>
              <w:right w:val="single" w:sz="4" w:space="0" w:color="auto"/>
            </w:tcBorders>
            <w:vAlign w:val="center"/>
          </w:tcPr>
          <w:p w:rsidR="003B6C40" w:rsidRDefault="00F72B2A">
            <w:pPr>
              <w:jc w:val="center"/>
              <w:rPr>
                <w:rFonts w:ascii="宋体"/>
                <w:sz w:val="18"/>
              </w:rPr>
            </w:pPr>
            <w:r>
              <w:rPr>
                <w:rFonts w:ascii="宋体" w:hint="eastAsia"/>
                <w:sz w:val="18"/>
              </w:rPr>
              <w:t>区域</w:t>
            </w:r>
          </w:p>
        </w:tc>
        <w:tc>
          <w:tcPr>
            <w:tcW w:w="2693" w:type="dxa"/>
            <w:tcBorders>
              <w:top w:val="single" w:sz="8" w:space="0" w:color="auto"/>
              <w:left w:val="single" w:sz="4" w:space="0" w:color="auto"/>
              <w:bottom w:val="single" w:sz="8" w:space="0" w:color="auto"/>
              <w:right w:val="single" w:sz="4" w:space="0" w:color="auto"/>
            </w:tcBorders>
            <w:vAlign w:val="center"/>
          </w:tcPr>
          <w:p w:rsidR="003B6C40" w:rsidRDefault="00F72B2A">
            <w:pPr>
              <w:jc w:val="center"/>
              <w:rPr>
                <w:rFonts w:ascii="宋体"/>
                <w:sz w:val="18"/>
              </w:rPr>
            </w:pPr>
            <w:r>
              <w:rPr>
                <w:rFonts w:ascii="宋体" w:hint="eastAsia"/>
                <w:sz w:val="18"/>
              </w:rPr>
              <w:t>设施</w:t>
            </w:r>
          </w:p>
        </w:tc>
        <w:tc>
          <w:tcPr>
            <w:tcW w:w="3687" w:type="dxa"/>
            <w:tcBorders>
              <w:top w:val="single" w:sz="8" w:space="0" w:color="auto"/>
              <w:left w:val="single" w:sz="4" w:space="0" w:color="auto"/>
              <w:bottom w:val="single" w:sz="8" w:space="0" w:color="auto"/>
            </w:tcBorders>
            <w:vAlign w:val="center"/>
          </w:tcPr>
          <w:p w:rsidR="003B6C40" w:rsidRDefault="00F72B2A">
            <w:pPr>
              <w:jc w:val="center"/>
              <w:rPr>
                <w:rFonts w:ascii="宋体"/>
                <w:sz w:val="18"/>
              </w:rPr>
            </w:pPr>
            <w:r>
              <w:rPr>
                <w:rFonts w:ascii="宋体" w:hint="eastAsia"/>
                <w:sz w:val="18"/>
              </w:rPr>
              <w:t>功能</w:t>
            </w:r>
          </w:p>
        </w:tc>
        <w:tc>
          <w:tcPr>
            <w:tcW w:w="1111" w:type="dxa"/>
            <w:tcBorders>
              <w:top w:val="single" w:sz="8" w:space="0" w:color="auto"/>
              <w:left w:val="single" w:sz="4" w:space="0" w:color="auto"/>
              <w:bottom w:val="single" w:sz="8" w:space="0" w:color="auto"/>
            </w:tcBorders>
            <w:vAlign w:val="center"/>
          </w:tcPr>
          <w:p w:rsidR="003B6C40" w:rsidRDefault="00F72B2A">
            <w:pPr>
              <w:jc w:val="center"/>
              <w:rPr>
                <w:rFonts w:ascii="宋体"/>
                <w:sz w:val="18"/>
              </w:rPr>
            </w:pPr>
            <w:r>
              <w:rPr>
                <w:rFonts w:ascii="宋体" w:hint="eastAsia"/>
                <w:sz w:val="18"/>
              </w:rPr>
              <w:t>要求</w:t>
            </w:r>
          </w:p>
        </w:tc>
      </w:tr>
      <w:tr w:rsidR="003B6C40">
        <w:trPr>
          <w:trHeight w:val="340"/>
          <w:jc w:val="center"/>
        </w:trPr>
        <w:tc>
          <w:tcPr>
            <w:tcW w:w="1833" w:type="dxa"/>
            <w:tcBorders>
              <w:top w:val="single" w:sz="8"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核心分享</w:t>
            </w:r>
            <w:r>
              <w:rPr>
                <w:rFonts w:ascii="宋体"/>
                <w:sz w:val="18"/>
              </w:rPr>
              <w:t>区</w:t>
            </w:r>
          </w:p>
        </w:tc>
        <w:tc>
          <w:tcPr>
            <w:tcW w:w="2693" w:type="dxa"/>
            <w:tcBorders>
              <w:top w:val="single" w:sz="8" w:space="0" w:color="auto"/>
              <w:left w:val="single" w:sz="4" w:space="0" w:color="auto"/>
              <w:bottom w:val="single" w:sz="4" w:space="0" w:color="auto"/>
              <w:right w:val="single" w:sz="4" w:space="0" w:color="auto"/>
            </w:tcBorders>
            <w:vAlign w:val="center"/>
          </w:tcPr>
          <w:p w:rsidR="003B6C40" w:rsidRDefault="00F72B2A">
            <w:pPr>
              <w:jc w:val="center"/>
              <w:rPr>
                <w:rFonts w:ascii="仿宋" w:eastAsia="仿宋" w:hAnsi="仿宋"/>
                <w:sz w:val="28"/>
                <w:szCs w:val="28"/>
              </w:rPr>
            </w:pPr>
            <w:r>
              <w:rPr>
                <w:rFonts w:ascii="宋体" w:hint="eastAsia"/>
                <w:sz w:val="18"/>
              </w:rPr>
              <w:t>小型舞台</w:t>
            </w:r>
          </w:p>
        </w:tc>
        <w:tc>
          <w:tcPr>
            <w:tcW w:w="3687" w:type="dxa"/>
            <w:tcBorders>
              <w:top w:val="single" w:sz="8"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供分享嘉宾进行知识分享、文艺演出等</w:t>
            </w:r>
          </w:p>
        </w:tc>
        <w:tc>
          <w:tcPr>
            <w:tcW w:w="1111" w:type="dxa"/>
            <w:tcBorders>
              <w:top w:val="single" w:sz="8"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应设</w:t>
            </w:r>
          </w:p>
        </w:tc>
      </w:tr>
      <w:tr w:rsidR="003B6C40">
        <w:trPr>
          <w:trHeight w:val="340"/>
          <w:jc w:val="center"/>
        </w:trPr>
        <w:tc>
          <w:tcPr>
            <w:tcW w:w="1833" w:type="dxa"/>
            <w:tcBorders>
              <w:top w:val="single" w:sz="4"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观众</w:t>
            </w:r>
            <w:proofErr w:type="gramStart"/>
            <w:r>
              <w:rPr>
                <w:rFonts w:ascii="宋体" w:hint="eastAsia"/>
                <w:sz w:val="18"/>
              </w:rPr>
              <w:t>交流</w:t>
            </w:r>
            <w:r>
              <w:rPr>
                <w:rFonts w:ascii="宋体"/>
                <w:sz w:val="18"/>
              </w:rPr>
              <w:t>区</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茶几、休闲椅等</w:t>
            </w:r>
          </w:p>
        </w:tc>
        <w:tc>
          <w:tcPr>
            <w:tcW w:w="3687" w:type="dxa"/>
            <w:tcBorders>
              <w:top w:val="single" w:sz="4"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供服务对象以排坐、围坐、小组聚坐等多种形式观看聆听、交流互动</w:t>
            </w:r>
          </w:p>
        </w:tc>
        <w:tc>
          <w:tcPr>
            <w:tcW w:w="1111" w:type="dxa"/>
            <w:tcBorders>
              <w:top w:val="single" w:sz="4"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应设</w:t>
            </w:r>
          </w:p>
        </w:tc>
      </w:tr>
      <w:tr w:rsidR="003B6C40">
        <w:trPr>
          <w:trHeight w:val="340"/>
          <w:jc w:val="center"/>
        </w:trPr>
        <w:tc>
          <w:tcPr>
            <w:tcW w:w="1833" w:type="dxa"/>
            <w:tcBorders>
              <w:top w:val="single" w:sz="4"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品牌展示区</w:t>
            </w:r>
          </w:p>
        </w:tc>
        <w:tc>
          <w:tcPr>
            <w:tcW w:w="2693" w:type="dxa"/>
            <w:tcBorders>
              <w:top w:val="single" w:sz="4" w:space="0" w:color="auto"/>
              <w:left w:val="single" w:sz="4"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布告栏</w:t>
            </w:r>
          </w:p>
        </w:tc>
        <w:tc>
          <w:tcPr>
            <w:tcW w:w="3687" w:type="dxa"/>
            <w:tcBorders>
              <w:top w:val="single" w:sz="4"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展示品牌文化（</w:t>
            </w:r>
            <w:proofErr w:type="gramStart"/>
            <w:r>
              <w:rPr>
                <w:rFonts w:ascii="宋体" w:hint="eastAsia"/>
                <w:sz w:val="18"/>
              </w:rPr>
              <w:t>含品牌</w:t>
            </w:r>
            <w:proofErr w:type="gramEnd"/>
            <w:r>
              <w:rPr>
                <w:rFonts w:ascii="宋体" w:hint="eastAsia"/>
                <w:sz w:val="18"/>
              </w:rPr>
              <w:t>简介、服务范围、信息预告、活动回顾、志愿者风采等）</w:t>
            </w:r>
          </w:p>
        </w:tc>
        <w:tc>
          <w:tcPr>
            <w:tcW w:w="1111" w:type="dxa"/>
            <w:tcBorders>
              <w:top w:val="single" w:sz="4"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应设</w:t>
            </w:r>
          </w:p>
        </w:tc>
      </w:tr>
      <w:tr w:rsidR="003B6C40">
        <w:trPr>
          <w:trHeight w:val="340"/>
          <w:jc w:val="center"/>
        </w:trPr>
        <w:tc>
          <w:tcPr>
            <w:tcW w:w="1833" w:type="dxa"/>
            <w:tcBorders>
              <w:top w:val="single" w:sz="4"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文化展示</w:t>
            </w:r>
            <w:r>
              <w:rPr>
                <w:rFonts w:ascii="宋体"/>
                <w:sz w:val="18"/>
              </w:rPr>
              <w:t>区</w:t>
            </w:r>
          </w:p>
        </w:tc>
        <w:tc>
          <w:tcPr>
            <w:tcW w:w="2693" w:type="dxa"/>
            <w:tcBorders>
              <w:top w:val="single" w:sz="4" w:space="0" w:color="auto"/>
              <w:left w:val="single" w:sz="4"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展墙、展架</w:t>
            </w:r>
          </w:p>
        </w:tc>
        <w:tc>
          <w:tcPr>
            <w:tcW w:w="3687" w:type="dxa"/>
            <w:tcBorders>
              <w:top w:val="single" w:sz="4"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中小型书画、器物、地方文化等展览</w:t>
            </w:r>
          </w:p>
        </w:tc>
        <w:tc>
          <w:tcPr>
            <w:tcW w:w="1111" w:type="dxa"/>
            <w:tcBorders>
              <w:top w:val="single" w:sz="4"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宜设</w:t>
            </w:r>
          </w:p>
        </w:tc>
      </w:tr>
      <w:tr w:rsidR="003B6C40">
        <w:trPr>
          <w:trHeight w:val="340"/>
          <w:jc w:val="center"/>
        </w:trPr>
        <w:tc>
          <w:tcPr>
            <w:tcW w:w="1833" w:type="dxa"/>
            <w:tcBorders>
              <w:top w:val="single" w:sz="4"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书报阅览区</w:t>
            </w:r>
          </w:p>
        </w:tc>
        <w:tc>
          <w:tcPr>
            <w:tcW w:w="2693" w:type="dxa"/>
            <w:tcBorders>
              <w:top w:val="single" w:sz="4" w:space="0" w:color="auto"/>
              <w:left w:val="single" w:sz="4" w:space="0" w:color="auto"/>
              <w:bottom w:val="single" w:sz="4" w:space="0" w:color="auto"/>
              <w:right w:val="single" w:sz="4" w:space="0" w:color="auto"/>
            </w:tcBorders>
            <w:vAlign w:val="center"/>
          </w:tcPr>
          <w:p w:rsidR="003B6C40" w:rsidRDefault="00F72B2A">
            <w:pPr>
              <w:jc w:val="center"/>
              <w:rPr>
                <w:rFonts w:ascii="宋体"/>
                <w:sz w:val="18"/>
              </w:rPr>
            </w:pPr>
            <w:r>
              <w:rPr>
                <w:rFonts w:ascii="宋体" w:hint="eastAsia"/>
                <w:sz w:val="18"/>
              </w:rPr>
              <w:t>书架、陈列架、阅读桌椅</w:t>
            </w:r>
          </w:p>
        </w:tc>
        <w:tc>
          <w:tcPr>
            <w:tcW w:w="3687" w:type="dxa"/>
            <w:tcBorders>
              <w:top w:val="single" w:sz="4"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文化艺术类、地方特色类书籍、刊物阅览</w:t>
            </w:r>
          </w:p>
        </w:tc>
        <w:tc>
          <w:tcPr>
            <w:tcW w:w="1111" w:type="dxa"/>
            <w:tcBorders>
              <w:top w:val="single" w:sz="4" w:space="0" w:color="auto"/>
              <w:left w:val="single" w:sz="4" w:space="0" w:color="auto"/>
              <w:bottom w:val="single" w:sz="4" w:space="0" w:color="auto"/>
            </w:tcBorders>
            <w:vAlign w:val="center"/>
          </w:tcPr>
          <w:p w:rsidR="003B6C40" w:rsidRDefault="00F72B2A">
            <w:pPr>
              <w:jc w:val="center"/>
              <w:rPr>
                <w:rFonts w:ascii="宋体"/>
                <w:sz w:val="18"/>
              </w:rPr>
            </w:pPr>
            <w:r>
              <w:rPr>
                <w:rFonts w:ascii="宋体" w:hint="eastAsia"/>
                <w:sz w:val="18"/>
              </w:rPr>
              <w:t>宜设</w:t>
            </w:r>
          </w:p>
        </w:tc>
      </w:tr>
      <w:tr w:rsidR="003B6C40">
        <w:trPr>
          <w:trHeight w:val="340"/>
          <w:jc w:val="center"/>
        </w:trPr>
        <w:tc>
          <w:tcPr>
            <w:tcW w:w="1833" w:type="dxa"/>
            <w:tcBorders>
              <w:top w:val="single" w:sz="4" w:space="0" w:color="auto"/>
              <w:bottom w:val="single" w:sz="8" w:space="0" w:color="auto"/>
              <w:right w:val="single" w:sz="4" w:space="0" w:color="auto"/>
            </w:tcBorders>
            <w:vAlign w:val="center"/>
          </w:tcPr>
          <w:p w:rsidR="003B6C40" w:rsidRDefault="00F72B2A">
            <w:pPr>
              <w:jc w:val="center"/>
              <w:rPr>
                <w:rFonts w:ascii="宋体"/>
                <w:sz w:val="18"/>
              </w:rPr>
            </w:pPr>
            <w:r>
              <w:rPr>
                <w:rFonts w:ascii="宋体" w:hint="eastAsia"/>
                <w:sz w:val="18"/>
              </w:rPr>
              <w:t>便民服务区</w:t>
            </w:r>
          </w:p>
        </w:tc>
        <w:tc>
          <w:tcPr>
            <w:tcW w:w="2693" w:type="dxa"/>
            <w:tcBorders>
              <w:top w:val="single" w:sz="4" w:space="0" w:color="auto"/>
              <w:left w:val="single" w:sz="4" w:space="0" w:color="auto"/>
              <w:bottom w:val="single" w:sz="8" w:space="0" w:color="auto"/>
              <w:right w:val="single" w:sz="4" w:space="0" w:color="auto"/>
            </w:tcBorders>
            <w:vAlign w:val="center"/>
          </w:tcPr>
          <w:p w:rsidR="003B6C40" w:rsidRDefault="00F72B2A">
            <w:pPr>
              <w:jc w:val="center"/>
              <w:rPr>
                <w:rFonts w:ascii="宋体"/>
                <w:sz w:val="18"/>
              </w:rPr>
            </w:pPr>
            <w:r>
              <w:rPr>
                <w:rFonts w:ascii="宋体" w:hint="eastAsia"/>
                <w:sz w:val="18"/>
              </w:rPr>
              <w:t>吧台、便民物品箱、意见本等</w:t>
            </w:r>
          </w:p>
        </w:tc>
        <w:tc>
          <w:tcPr>
            <w:tcW w:w="3687" w:type="dxa"/>
            <w:tcBorders>
              <w:top w:val="single" w:sz="4" w:space="0" w:color="auto"/>
              <w:left w:val="single" w:sz="4" w:space="0" w:color="auto"/>
              <w:bottom w:val="single" w:sz="8" w:space="0" w:color="auto"/>
            </w:tcBorders>
            <w:vAlign w:val="center"/>
          </w:tcPr>
          <w:p w:rsidR="003B6C40" w:rsidRDefault="00F72B2A">
            <w:pPr>
              <w:jc w:val="center"/>
              <w:rPr>
                <w:rFonts w:ascii="宋体"/>
                <w:sz w:val="18"/>
              </w:rPr>
            </w:pPr>
            <w:r>
              <w:rPr>
                <w:rFonts w:ascii="宋体" w:hint="eastAsia"/>
                <w:sz w:val="18"/>
              </w:rPr>
              <w:t>提供充电、急救、饮品、简餐等服务</w:t>
            </w:r>
          </w:p>
        </w:tc>
        <w:tc>
          <w:tcPr>
            <w:tcW w:w="1111" w:type="dxa"/>
            <w:tcBorders>
              <w:top w:val="single" w:sz="4" w:space="0" w:color="auto"/>
              <w:left w:val="single" w:sz="4" w:space="0" w:color="auto"/>
              <w:bottom w:val="single" w:sz="8" w:space="0" w:color="auto"/>
            </w:tcBorders>
            <w:vAlign w:val="center"/>
          </w:tcPr>
          <w:p w:rsidR="003B6C40" w:rsidRDefault="00F72B2A">
            <w:pPr>
              <w:jc w:val="center"/>
              <w:rPr>
                <w:rFonts w:ascii="宋体"/>
                <w:sz w:val="18"/>
              </w:rPr>
            </w:pPr>
            <w:r>
              <w:rPr>
                <w:rFonts w:ascii="宋体" w:hint="eastAsia"/>
                <w:sz w:val="18"/>
              </w:rPr>
              <w:t>宜设</w:t>
            </w:r>
          </w:p>
        </w:tc>
      </w:tr>
    </w:tbl>
    <w:p w:rsidR="003B6C40" w:rsidRDefault="00F72B2A">
      <w:pPr>
        <w:pStyle w:val="a5"/>
        <w:ind w:left="0"/>
      </w:pPr>
      <w:r>
        <w:rPr>
          <w:rFonts w:hint="eastAsia"/>
        </w:rPr>
        <w:lastRenderedPageBreak/>
        <w:t>设施设备</w:t>
      </w:r>
    </w:p>
    <w:p w:rsidR="003B6C40" w:rsidRDefault="00F72B2A">
      <w:pPr>
        <w:pStyle w:val="affffff6"/>
        <w:numPr>
          <w:ilvl w:val="1"/>
          <w:numId w:val="0"/>
        </w:numPr>
      </w:pPr>
      <w:r>
        <w:rPr>
          <w:rFonts w:hint="eastAsia"/>
        </w:rPr>
        <w:t>6.8.1应配置消防安全、卫生通风、强弱电等保障设施。</w:t>
      </w:r>
    </w:p>
    <w:p w:rsidR="003B6C40" w:rsidRDefault="00F72B2A">
      <w:pPr>
        <w:pStyle w:val="affffff6"/>
        <w:numPr>
          <w:ilvl w:val="1"/>
          <w:numId w:val="0"/>
        </w:numPr>
      </w:pPr>
      <w:r>
        <w:rPr>
          <w:rFonts w:hint="eastAsia"/>
        </w:rPr>
        <w:t>6.8.2应设计应对突发事件的安全疏散路线。</w:t>
      </w:r>
    </w:p>
    <w:p w:rsidR="003B6C40" w:rsidRDefault="00F72B2A">
      <w:pPr>
        <w:pStyle w:val="affffff6"/>
        <w:numPr>
          <w:ilvl w:val="1"/>
          <w:numId w:val="0"/>
        </w:numPr>
      </w:pPr>
      <w:r>
        <w:rPr>
          <w:rFonts w:hint="eastAsia"/>
        </w:rPr>
        <w:t>6.8.3灭火器配置应符合GB 50140要求。</w:t>
      </w:r>
    </w:p>
    <w:p w:rsidR="003B6C40" w:rsidRDefault="00F72B2A">
      <w:pPr>
        <w:pStyle w:val="affffff6"/>
        <w:numPr>
          <w:ilvl w:val="1"/>
          <w:numId w:val="0"/>
        </w:numPr>
      </w:pPr>
      <w:r>
        <w:rPr>
          <w:rFonts w:hint="eastAsia"/>
        </w:rPr>
        <w:t>6.8.4应配置活动所需的灯光、音响、视频展示设备、网络等。</w:t>
      </w:r>
    </w:p>
    <w:p w:rsidR="003B6C40" w:rsidRDefault="00F72B2A">
      <w:pPr>
        <w:pStyle w:val="a4"/>
      </w:pPr>
      <w:r>
        <w:rPr>
          <w:rFonts w:hint="eastAsia"/>
        </w:rPr>
        <w:t>人员</w:t>
      </w:r>
    </w:p>
    <w:p w:rsidR="003B6C40" w:rsidRDefault="00F72B2A">
      <w:pPr>
        <w:pStyle w:val="affffff6"/>
        <w:ind w:left="0"/>
      </w:pPr>
      <w:r>
        <w:rPr>
          <w:rFonts w:hint="eastAsia"/>
        </w:rPr>
        <w:t>应配备1名站长，负责文化驿站整体活动规划、日常运行管理。</w:t>
      </w:r>
    </w:p>
    <w:p w:rsidR="003B6C40" w:rsidRDefault="00F72B2A">
      <w:pPr>
        <w:pStyle w:val="affffff6"/>
        <w:ind w:left="0"/>
      </w:pPr>
      <w:r>
        <w:rPr>
          <w:rFonts w:hint="eastAsia"/>
        </w:rPr>
        <w:t>应配备1-2名专（兼）职工作人员，负责活动预告宣传</w:t>
      </w:r>
      <w:r>
        <w:t>、</w:t>
      </w:r>
      <w:r>
        <w:rPr>
          <w:rFonts w:hint="eastAsia"/>
        </w:rPr>
        <w:t>活动报名、现场管理、后续报道、活动记录及存档等。</w:t>
      </w:r>
    </w:p>
    <w:p w:rsidR="003B6C40" w:rsidRDefault="00F72B2A">
      <w:pPr>
        <w:pStyle w:val="affffff6"/>
        <w:ind w:left="0"/>
      </w:pPr>
      <w:r>
        <w:rPr>
          <w:rFonts w:hint="eastAsia"/>
        </w:rPr>
        <w:t>站长及专（兼）职工作人员每年培训时间不应少于2天。</w:t>
      </w:r>
    </w:p>
    <w:p w:rsidR="003B6C40" w:rsidRDefault="00F72B2A">
      <w:pPr>
        <w:pStyle w:val="affffff6"/>
        <w:ind w:left="0"/>
      </w:pPr>
      <w:r>
        <w:rPr>
          <w:rFonts w:hint="eastAsia"/>
        </w:rPr>
        <w:t>分享嘉宾应具备一定的文化素养、专业背景及讲授经验。</w:t>
      </w:r>
    </w:p>
    <w:p w:rsidR="003B6C40" w:rsidRDefault="00F72B2A">
      <w:pPr>
        <w:pStyle w:val="a4"/>
      </w:pPr>
      <w:r>
        <w:rPr>
          <w:rFonts w:hint="eastAsia"/>
        </w:rPr>
        <w:t>服务内容</w:t>
      </w:r>
    </w:p>
    <w:p w:rsidR="003B6C40" w:rsidRDefault="00F72B2A">
      <w:pPr>
        <w:pStyle w:val="affffff6"/>
        <w:ind w:left="0"/>
      </w:pPr>
      <w:r>
        <w:rPr>
          <w:rFonts w:hint="eastAsia"/>
        </w:rPr>
        <w:t>应符合社会主义核心价值观的公益性文化活动，不应涉及商业类营销活动。</w:t>
      </w:r>
    </w:p>
    <w:p w:rsidR="003B6C40" w:rsidRDefault="00F72B2A">
      <w:pPr>
        <w:pStyle w:val="affffff6"/>
        <w:ind w:left="0"/>
      </w:pPr>
      <w:r>
        <w:rPr>
          <w:rFonts w:hint="eastAsia"/>
        </w:rPr>
        <w:t>服务项目包括但不限于讲座、沙龙、演出、培训、展览等多元类型，以讲述、展示、互动、体验等动态化形式开展。</w:t>
      </w:r>
    </w:p>
    <w:p w:rsidR="003B6C40" w:rsidRDefault="00F72B2A">
      <w:pPr>
        <w:pStyle w:val="affffff6"/>
        <w:ind w:left="0"/>
      </w:pPr>
      <w:r>
        <w:rPr>
          <w:rFonts w:hint="eastAsia"/>
        </w:rPr>
        <w:t>应包含一定比例的未成年人及老年人服务内容。</w:t>
      </w:r>
    </w:p>
    <w:p w:rsidR="003B6C40" w:rsidRDefault="00F72B2A">
      <w:pPr>
        <w:pStyle w:val="affffff6"/>
        <w:ind w:left="0"/>
      </w:pPr>
      <w:r>
        <w:rPr>
          <w:rFonts w:hint="eastAsia"/>
        </w:rPr>
        <w:t>应侧重地方文化的传承和保护，内容</w:t>
      </w:r>
      <w:proofErr w:type="gramStart"/>
      <w:r>
        <w:rPr>
          <w:rFonts w:hint="eastAsia"/>
        </w:rPr>
        <w:t>宜宣传</w:t>
      </w:r>
      <w:proofErr w:type="gramEnd"/>
      <w:r>
        <w:rPr>
          <w:rFonts w:hint="eastAsia"/>
        </w:rPr>
        <w:t>展示当地旅游资源。</w:t>
      </w:r>
    </w:p>
    <w:p w:rsidR="003B6C40" w:rsidRDefault="00F72B2A">
      <w:pPr>
        <w:pStyle w:val="a4"/>
      </w:pPr>
      <w:r>
        <w:rPr>
          <w:rFonts w:hint="eastAsia"/>
        </w:rPr>
        <w:t>服务要求</w:t>
      </w:r>
    </w:p>
    <w:p w:rsidR="003B6C40" w:rsidRDefault="00F72B2A">
      <w:pPr>
        <w:pStyle w:val="affffff6"/>
        <w:ind w:left="0"/>
      </w:pPr>
      <w:r>
        <w:rPr>
          <w:rFonts w:hint="eastAsia"/>
        </w:rPr>
        <w:t>应在文化驿站</w:t>
      </w:r>
      <w:r>
        <w:t>显著位置向市民公示服务范围、服务内容、</w:t>
      </w:r>
      <w:r>
        <w:rPr>
          <w:rFonts w:hint="eastAsia"/>
        </w:rPr>
        <w:t>开放时间</w:t>
      </w:r>
      <w:r>
        <w:t>、报名方式、活动规则等信息。</w:t>
      </w:r>
    </w:p>
    <w:p w:rsidR="003B6C40" w:rsidRDefault="00F72B2A">
      <w:pPr>
        <w:pStyle w:val="affffff6"/>
        <w:ind w:left="0"/>
      </w:pPr>
      <w:r>
        <w:rPr>
          <w:rFonts w:hint="eastAsia"/>
        </w:rPr>
        <w:t>应做好活动</w:t>
      </w:r>
      <w:r>
        <w:t>的</w:t>
      </w:r>
      <w:r>
        <w:rPr>
          <w:rFonts w:hint="eastAsia"/>
        </w:rPr>
        <w:t>组织策划、宣传报名、签到管理、活动记录、摄影存档、通讯报道等工作。</w:t>
      </w:r>
    </w:p>
    <w:p w:rsidR="003B6C40" w:rsidRDefault="00F72B2A">
      <w:pPr>
        <w:pStyle w:val="affffff6"/>
        <w:ind w:left="0"/>
      </w:pPr>
      <w:r>
        <w:rPr>
          <w:rFonts w:hint="eastAsia"/>
        </w:rPr>
        <w:t>应至少提前3天，利用</w:t>
      </w:r>
      <w:r>
        <w:t>线上平台向市民发布活动信息、临时闭馆或暂停部分服务公告。</w:t>
      </w:r>
    </w:p>
    <w:p w:rsidR="003B6C40" w:rsidRDefault="00F72B2A">
      <w:pPr>
        <w:pStyle w:val="affffff6"/>
        <w:ind w:left="0"/>
      </w:pPr>
      <w:r>
        <w:rPr>
          <w:rFonts w:hint="eastAsia"/>
        </w:rPr>
        <w:t>每次活动的人数在25</w:t>
      </w:r>
      <w:r>
        <w:rPr>
          <w:rFonts w:hAnsi="宋体" w:hint="eastAsia"/>
        </w:rPr>
        <w:t>～</w:t>
      </w:r>
      <w:r>
        <w:rPr>
          <w:rFonts w:hint="eastAsia"/>
        </w:rPr>
        <w:t>100人，时长60</w:t>
      </w:r>
      <w:r>
        <w:rPr>
          <w:rFonts w:hAnsi="宋体" w:hint="eastAsia"/>
        </w:rPr>
        <w:t>～</w:t>
      </w:r>
      <w:r>
        <w:rPr>
          <w:rFonts w:hint="eastAsia"/>
        </w:rPr>
        <w:t>120分钟，至少应包含讲述、展示、交流三个环节。</w:t>
      </w:r>
    </w:p>
    <w:p w:rsidR="003B6C40" w:rsidRDefault="00F72B2A">
      <w:pPr>
        <w:pStyle w:val="affffff6"/>
        <w:ind w:left="0"/>
      </w:pPr>
      <w:r>
        <w:rPr>
          <w:rFonts w:hint="eastAsia"/>
        </w:rPr>
        <w:t>分享嘉宾应自备与主题相关的PPT，并按照预设环节进行文化分享。</w:t>
      </w:r>
    </w:p>
    <w:p w:rsidR="003B6C40" w:rsidRDefault="00F72B2A">
      <w:pPr>
        <w:pStyle w:val="affffff6"/>
        <w:ind w:left="0"/>
      </w:pPr>
      <w:r>
        <w:rPr>
          <w:rFonts w:hint="eastAsia"/>
        </w:rPr>
        <w:t>应及时</w:t>
      </w:r>
      <w:r>
        <w:rPr>
          <w:rFonts w:hAnsi="宋体" w:cs="宋体" w:hint="eastAsia"/>
          <w:lang w:bidi="ar"/>
        </w:rPr>
        <w:t>了解、收集基层</w:t>
      </w:r>
      <w:proofErr w:type="gramStart"/>
      <w:r>
        <w:rPr>
          <w:rFonts w:hAnsi="宋体" w:cs="宋体" w:hint="eastAsia"/>
          <w:lang w:bidi="ar"/>
        </w:rPr>
        <w:t>群众文旅活动</w:t>
      </w:r>
      <w:proofErr w:type="gramEnd"/>
      <w:r>
        <w:rPr>
          <w:rFonts w:hAnsi="宋体" w:cs="宋体" w:hint="eastAsia"/>
          <w:lang w:bidi="ar"/>
        </w:rPr>
        <w:t>需求，报送并录入文化驿站后台资源库。</w:t>
      </w:r>
    </w:p>
    <w:p w:rsidR="003B6C40" w:rsidRDefault="00F72B2A">
      <w:pPr>
        <w:pStyle w:val="affffff6"/>
        <w:ind w:left="0"/>
      </w:pPr>
      <w:r>
        <w:rPr>
          <w:rFonts w:hint="eastAsia"/>
        </w:rPr>
        <w:t xml:space="preserve">市本级、县（市、区）级站点每月开展主题活动不应少于 4 次，乡镇（街道）级站点、社会站点每月开展主题活动不应少于 2 次，村级服务点年服务不应少于24次。 </w:t>
      </w:r>
    </w:p>
    <w:p w:rsidR="003B6C40" w:rsidRDefault="00F72B2A">
      <w:pPr>
        <w:pStyle w:val="a4"/>
        <w:rPr>
          <w:szCs w:val="22"/>
        </w:rPr>
      </w:pPr>
      <w:r>
        <w:rPr>
          <w:rFonts w:hint="eastAsia"/>
          <w:szCs w:val="22"/>
        </w:rPr>
        <w:t>服务监督与评价</w:t>
      </w:r>
    </w:p>
    <w:p w:rsidR="003B6C40" w:rsidRDefault="00F72B2A">
      <w:pPr>
        <w:pStyle w:val="affffff6"/>
        <w:ind w:left="0"/>
      </w:pPr>
      <w:r>
        <w:rPr>
          <w:rFonts w:hint="eastAsia"/>
        </w:rPr>
        <w:t>通过在文化驿站显著位置设立市民意见箱、公开市民监督电话、开设网上投诉通道等方式，对服务</w:t>
      </w:r>
      <w:r>
        <w:t>进行监督</w:t>
      </w:r>
      <w:r>
        <w:rPr>
          <w:rFonts w:hint="eastAsia"/>
        </w:rPr>
        <w:t>，</w:t>
      </w:r>
      <w:r>
        <w:t>应</w:t>
      </w:r>
      <w:r>
        <w:rPr>
          <w:rFonts w:hint="eastAsia"/>
        </w:rPr>
        <w:t>在5个工作日内回复处理结果并尽快整改。</w:t>
      </w:r>
    </w:p>
    <w:p w:rsidR="003B6C40" w:rsidRDefault="00F72B2A">
      <w:pPr>
        <w:pStyle w:val="affffff6"/>
        <w:ind w:left="0"/>
      </w:pPr>
      <w:r>
        <w:rPr>
          <w:rFonts w:hint="eastAsia"/>
        </w:rPr>
        <w:t>每年应开展1次市民需求和满意度调查。调查表发放数量不应少于100份，回收率应大于80%，满意度应大于85%。</w:t>
      </w:r>
    </w:p>
    <w:p w:rsidR="003B6C40" w:rsidRDefault="00F72B2A">
      <w:pPr>
        <w:pStyle w:val="affffff6"/>
        <w:ind w:left="0"/>
      </w:pPr>
      <w:r>
        <w:rPr>
          <w:rFonts w:hint="eastAsia"/>
        </w:rPr>
        <w:t>开展</w:t>
      </w:r>
      <w:r>
        <w:t>自我监督</w:t>
      </w:r>
      <w:r>
        <w:rPr>
          <w:rFonts w:hint="eastAsia"/>
        </w:rPr>
        <w:t>检查</w:t>
      </w:r>
      <w:r>
        <w:t>，</w:t>
      </w:r>
      <w:r>
        <w:rPr>
          <w:rFonts w:hint="eastAsia"/>
        </w:rPr>
        <w:t>对影响</w:t>
      </w:r>
      <w:r>
        <w:t>服务</w:t>
      </w:r>
      <w:r>
        <w:rPr>
          <w:rFonts w:hint="eastAsia"/>
        </w:rPr>
        <w:t>质量的各类问题、突发情况，</w:t>
      </w:r>
      <w:proofErr w:type="gramStart"/>
      <w:r>
        <w:rPr>
          <w:rFonts w:hint="eastAsia"/>
        </w:rPr>
        <w:t>应第一时间</w:t>
      </w:r>
      <w:proofErr w:type="gramEnd"/>
      <w:r>
        <w:rPr>
          <w:rFonts w:hint="eastAsia"/>
        </w:rPr>
        <w:t>上报主管部门。</w:t>
      </w:r>
    </w:p>
    <w:p w:rsidR="003B6C40" w:rsidRDefault="00F72B2A">
      <w:pPr>
        <w:pStyle w:val="affffff6"/>
        <w:ind w:left="0"/>
      </w:pPr>
      <w:r>
        <w:rPr>
          <w:rFonts w:hint="eastAsia"/>
        </w:rPr>
        <w:t>各县（市、区）主管部门应对辖区内服务滞后、</w:t>
      </w:r>
      <w:bookmarkStart w:id="10" w:name="_GoBack"/>
      <w:bookmarkEnd w:id="10"/>
      <w:r>
        <w:rPr>
          <w:rFonts w:hint="eastAsia"/>
        </w:rPr>
        <w:t>绩效不达标的文化驿站出具整改函。</w:t>
      </w:r>
    </w:p>
    <w:p w:rsidR="003B6C40" w:rsidRDefault="00F72B2A">
      <w:pPr>
        <w:pStyle w:val="affffff6"/>
        <w:ind w:left="0"/>
      </w:pPr>
      <w:r>
        <w:rPr>
          <w:rFonts w:hint="eastAsia"/>
        </w:rPr>
        <w:lastRenderedPageBreak/>
        <w:t>主管部门对全市站点进行年度星级评定，连续两年绩效不达标站点，按属地管理要求启动退出机制。</w:t>
      </w:r>
    </w:p>
    <w:p w:rsidR="003B6C40" w:rsidRDefault="00F72B2A">
      <w:pPr>
        <w:pStyle w:val="affff2"/>
      </w:pPr>
      <w:bookmarkStart w:id="11" w:name="_Toc63321445"/>
      <w:bookmarkStart w:id="12" w:name="_Toc70269695"/>
      <w:bookmarkStart w:id="13" w:name="_Toc57982754"/>
      <w:bookmarkStart w:id="14" w:name="BKCKWX"/>
      <w:bookmarkStart w:id="15" w:name="_Toc64986948"/>
      <w:bookmarkStart w:id="16" w:name="_Toc68869520"/>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1"/>
      <w:bookmarkEnd w:id="12"/>
      <w:bookmarkEnd w:id="13"/>
      <w:bookmarkEnd w:id="14"/>
      <w:bookmarkEnd w:id="15"/>
      <w:bookmarkEnd w:id="16"/>
    </w:p>
    <w:p w:rsidR="003B6C40" w:rsidRDefault="00F72B2A">
      <w:pPr>
        <w:widowControl/>
        <w:ind w:firstLineChars="200" w:firstLine="420"/>
        <w:jc w:val="left"/>
        <w:rPr>
          <w:rFonts w:ascii="宋体" w:hAnsi="宋体" w:cs="宋体"/>
          <w:color w:val="000000"/>
          <w:szCs w:val="21"/>
          <w:lang w:bidi="ar"/>
        </w:rPr>
      </w:pPr>
      <w:r>
        <w:rPr>
          <w:rFonts w:ascii="宋体" w:hAnsi="宋体" w:cs="宋体" w:hint="eastAsia"/>
          <w:color w:val="000000"/>
          <w:szCs w:val="21"/>
          <w:lang w:bidi="ar"/>
        </w:rPr>
        <w:t xml:space="preserve">[1] </w:t>
      </w:r>
      <w:r w:rsidR="00B61928">
        <w:rPr>
          <w:rFonts w:hAnsi="宋体" w:cs="宋体" w:hint="eastAsia"/>
          <w:szCs w:val="21"/>
        </w:rPr>
        <w:t>《</w:t>
      </w:r>
      <w:r w:rsidR="00B61928">
        <w:rPr>
          <w:rFonts w:hAnsi="宋体" w:cs="宋体" w:hint="eastAsia"/>
          <w:color w:val="000000"/>
          <w:szCs w:val="21"/>
          <w:lang w:bidi="ar"/>
        </w:rPr>
        <w:t>中华人民共和国公共文化服务保障法</w:t>
      </w:r>
      <w:r w:rsidR="00B61928">
        <w:rPr>
          <w:rFonts w:hAnsi="宋体" w:cs="宋体" w:hint="eastAsia"/>
          <w:szCs w:val="21"/>
        </w:rPr>
        <w:t>》</w:t>
      </w:r>
      <w:r w:rsidR="00B61928">
        <w:rPr>
          <w:rFonts w:hAnsi="宋体" w:cs="宋体" w:hint="eastAsia"/>
          <w:color w:val="000000"/>
          <w:szCs w:val="21"/>
          <w:lang w:bidi="ar"/>
        </w:rPr>
        <w:t>（中华人民共和国主席令</w:t>
      </w:r>
      <w:r w:rsidR="00B61928">
        <w:rPr>
          <w:rFonts w:hAnsi="宋体" w:cs="宋体" w:hint="eastAsia"/>
          <w:color w:val="000000"/>
          <w:szCs w:val="21"/>
          <w:lang w:bidi="ar"/>
        </w:rPr>
        <w:t xml:space="preserve"> </w:t>
      </w:r>
      <w:r w:rsidR="00B61928">
        <w:rPr>
          <w:rFonts w:hAnsi="宋体" w:cs="宋体" w:hint="eastAsia"/>
          <w:color w:val="000000"/>
          <w:szCs w:val="21"/>
          <w:lang w:bidi="ar"/>
        </w:rPr>
        <w:t>第六十号）</w:t>
      </w:r>
      <w:r>
        <w:rPr>
          <w:rFonts w:ascii="宋体" w:hAnsi="宋体" w:cs="宋体" w:hint="eastAsia"/>
          <w:color w:val="000000"/>
          <w:szCs w:val="21"/>
          <w:lang w:bidi="ar"/>
        </w:rPr>
        <w:t xml:space="preserve"> </w:t>
      </w:r>
    </w:p>
    <w:p w:rsidR="003B6C40" w:rsidRDefault="00F72B2A">
      <w:pPr>
        <w:widowControl/>
        <w:ind w:firstLineChars="200" w:firstLine="420"/>
        <w:jc w:val="left"/>
        <w:rPr>
          <w:rFonts w:ascii="宋体" w:hAnsi="宋体" w:cs="宋体"/>
          <w:color w:val="000000"/>
          <w:szCs w:val="21"/>
          <w:lang w:bidi="ar"/>
        </w:rPr>
      </w:pPr>
      <w:r>
        <w:rPr>
          <w:rFonts w:ascii="宋体" w:hAnsi="宋体" w:cs="宋体" w:hint="eastAsia"/>
          <w:color w:val="000000"/>
          <w:szCs w:val="21"/>
          <w:lang w:bidi="ar"/>
        </w:rPr>
        <w:t xml:space="preserve">[2] </w:t>
      </w:r>
      <w:r w:rsidR="00B61928">
        <w:rPr>
          <w:rFonts w:ascii="宋体" w:hAnsi="宋体" w:cs="宋体" w:hint="eastAsia"/>
          <w:color w:val="000000"/>
          <w:szCs w:val="21"/>
          <w:lang w:bidi="ar"/>
        </w:rPr>
        <w:t>DB33/T 2080</w:t>
      </w:r>
      <w:r w:rsidR="00B61928">
        <w:rPr>
          <w:rFonts w:ascii="宋体" w:hAnsi="宋体" w:cs="宋体"/>
          <w:color w:val="000000"/>
          <w:szCs w:val="21"/>
          <w:lang w:bidi="ar"/>
        </w:rPr>
        <w:t>—</w:t>
      </w:r>
      <w:r w:rsidR="00B61928">
        <w:rPr>
          <w:rFonts w:ascii="宋体" w:hAnsi="宋体" w:cs="宋体" w:hint="eastAsia"/>
          <w:color w:val="000000"/>
          <w:szCs w:val="21"/>
          <w:lang w:bidi="ar"/>
        </w:rPr>
        <w:t xml:space="preserve">2017 文化馆服务规范 </w:t>
      </w:r>
    </w:p>
    <w:p w:rsidR="003B6C40" w:rsidRDefault="00F72B2A">
      <w:pPr>
        <w:widowControl/>
        <w:ind w:firstLineChars="200" w:firstLine="420"/>
        <w:jc w:val="left"/>
        <w:rPr>
          <w:rFonts w:ascii="宋体" w:hAnsi="宋体" w:cs="宋体"/>
          <w:color w:val="000000"/>
          <w:szCs w:val="21"/>
          <w:lang w:bidi="ar"/>
        </w:rPr>
      </w:pPr>
      <w:r>
        <w:rPr>
          <w:rFonts w:ascii="宋体" w:hAnsi="宋体" w:cs="宋体" w:hint="eastAsia"/>
          <w:color w:val="000000"/>
          <w:szCs w:val="21"/>
          <w:lang w:bidi="ar"/>
        </w:rPr>
        <w:t xml:space="preserve">[3] </w:t>
      </w:r>
      <w:r w:rsidR="00B61928">
        <w:rPr>
          <w:rFonts w:ascii="宋体" w:hAnsi="宋体" w:cs="宋体" w:hint="eastAsia"/>
          <w:color w:val="000000"/>
          <w:szCs w:val="21"/>
          <w:lang w:bidi="ar"/>
        </w:rPr>
        <w:t>DB33/T 2181—2019 城市书房服务规范</w:t>
      </w:r>
    </w:p>
    <w:p w:rsidR="003B6C40" w:rsidRDefault="003B6C40">
      <w:pPr>
        <w:pStyle w:val="affffff8"/>
        <w:framePr w:hSpace="0" w:vSpace="0" w:wrap="auto" w:vAnchor="margin" w:hAnchor="text" w:xAlign="left" w:yAlign="inline"/>
      </w:pPr>
    </w:p>
    <w:p w:rsidR="003B6C40" w:rsidRDefault="003B6C40">
      <w:pPr>
        <w:pStyle w:val="affffff8"/>
        <w:framePr w:hSpace="0" w:vSpace="0" w:wrap="auto" w:vAnchor="margin" w:hAnchor="text" w:xAlign="left" w:yAlign="inline"/>
      </w:pPr>
    </w:p>
    <w:p w:rsidR="003B6C40" w:rsidRDefault="00F72B2A">
      <w:pPr>
        <w:framePr w:hSpace="181" w:vSpace="181" w:wrap="around" w:vAnchor="text" w:hAnchor="page" w:x="4230" w:y="1"/>
      </w:pPr>
      <w:r>
        <w:t>_________________________________</w:t>
      </w:r>
    </w:p>
    <w:p w:rsidR="003B6C40" w:rsidRDefault="003B6C40">
      <w:pPr>
        <w:pStyle w:val="affffff8"/>
        <w:framePr w:hSpace="0" w:vSpace="0" w:wrap="auto" w:vAnchor="margin" w:hAnchor="text" w:xAlign="left" w:yAlign="inline"/>
      </w:pPr>
    </w:p>
    <w:sectPr w:rsidR="003B6C40">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CD" w:rsidRDefault="00F338CD">
      <w:r>
        <w:separator/>
      </w:r>
    </w:p>
  </w:endnote>
  <w:endnote w:type="continuationSeparator" w:id="0">
    <w:p w:rsidR="00F338CD" w:rsidRDefault="00F3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40" w:rsidRDefault="00F72B2A">
    <w:pPr>
      <w:pStyle w:val="affff"/>
    </w:pPr>
    <w:r>
      <w:fldChar w:fldCharType="begin"/>
    </w:r>
    <w:r>
      <w:instrText xml:space="preserve"> PAGE  \* MERGEFORMAT </w:instrText>
    </w:r>
    <w:r>
      <w:fldChar w:fldCharType="separate"/>
    </w:r>
    <w:r w:rsidR="00710A8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40" w:rsidRDefault="00F72B2A">
    <w:pPr>
      <w:pStyle w:val="afff7"/>
    </w:pPr>
    <w:r>
      <w:fldChar w:fldCharType="begin"/>
    </w:r>
    <w:r>
      <w:instrText xml:space="preserve"> PAGE  \* MERGEFORMAT </w:instrText>
    </w:r>
    <w:r>
      <w:fldChar w:fldCharType="separate"/>
    </w:r>
    <w:r w:rsidR="00710A8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CD" w:rsidRDefault="00F338CD">
      <w:r>
        <w:separator/>
      </w:r>
    </w:p>
  </w:footnote>
  <w:footnote w:type="continuationSeparator" w:id="0">
    <w:p w:rsidR="00F338CD" w:rsidRDefault="00F3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40" w:rsidRDefault="00F72B2A">
    <w:pPr>
      <w:pStyle w:val="affff0"/>
    </w:pPr>
    <w:r>
      <w:t>DB3303/T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40" w:rsidRDefault="00F72B2A">
    <w:pPr>
      <w:pStyle w:val="afff8"/>
    </w:pPr>
    <w:r>
      <w:t>DB3303/T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4"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08"/>
    <w:rsid w:val="00000244"/>
    <w:rsid w:val="0000185F"/>
    <w:rsid w:val="0000586F"/>
    <w:rsid w:val="00006448"/>
    <w:rsid w:val="00006D20"/>
    <w:rsid w:val="00013D86"/>
    <w:rsid w:val="00013E02"/>
    <w:rsid w:val="000167F7"/>
    <w:rsid w:val="0002143C"/>
    <w:rsid w:val="00025A65"/>
    <w:rsid w:val="00026C31"/>
    <w:rsid w:val="00027280"/>
    <w:rsid w:val="000320A7"/>
    <w:rsid w:val="00035925"/>
    <w:rsid w:val="00042406"/>
    <w:rsid w:val="00044B2A"/>
    <w:rsid w:val="00051F29"/>
    <w:rsid w:val="00064F99"/>
    <w:rsid w:val="00067CDF"/>
    <w:rsid w:val="00067DDF"/>
    <w:rsid w:val="00074FBE"/>
    <w:rsid w:val="00080FAE"/>
    <w:rsid w:val="00083A09"/>
    <w:rsid w:val="0009005E"/>
    <w:rsid w:val="00092857"/>
    <w:rsid w:val="000A20A9"/>
    <w:rsid w:val="000A48B1"/>
    <w:rsid w:val="000A4BB4"/>
    <w:rsid w:val="000B074B"/>
    <w:rsid w:val="000B2CB3"/>
    <w:rsid w:val="000B3143"/>
    <w:rsid w:val="000B5C53"/>
    <w:rsid w:val="000B785D"/>
    <w:rsid w:val="000C6959"/>
    <w:rsid w:val="000C6B05"/>
    <w:rsid w:val="000C6DD6"/>
    <w:rsid w:val="000C73D4"/>
    <w:rsid w:val="000D219A"/>
    <w:rsid w:val="000D3D4C"/>
    <w:rsid w:val="000D4F51"/>
    <w:rsid w:val="000D718B"/>
    <w:rsid w:val="000D7673"/>
    <w:rsid w:val="000E0C46"/>
    <w:rsid w:val="000F030C"/>
    <w:rsid w:val="000F129C"/>
    <w:rsid w:val="000F7E07"/>
    <w:rsid w:val="00103D26"/>
    <w:rsid w:val="001056DE"/>
    <w:rsid w:val="00111AE0"/>
    <w:rsid w:val="001124C0"/>
    <w:rsid w:val="00112EB4"/>
    <w:rsid w:val="0011556F"/>
    <w:rsid w:val="0012235D"/>
    <w:rsid w:val="001301F3"/>
    <w:rsid w:val="0013175F"/>
    <w:rsid w:val="0013429E"/>
    <w:rsid w:val="001512B4"/>
    <w:rsid w:val="001620A5"/>
    <w:rsid w:val="00164E53"/>
    <w:rsid w:val="0016699D"/>
    <w:rsid w:val="00171800"/>
    <w:rsid w:val="00172D48"/>
    <w:rsid w:val="00175159"/>
    <w:rsid w:val="00176208"/>
    <w:rsid w:val="0018211B"/>
    <w:rsid w:val="001840D3"/>
    <w:rsid w:val="001900F8"/>
    <w:rsid w:val="00191258"/>
    <w:rsid w:val="00192680"/>
    <w:rsid w:val="00193037"/>
    <w:rsid w:val="00193A2C"/>
    <w:rsid w:val="001A0770"/>
    <w:rsid w:val="001A288E"/>
    <w:rsid w:val="001A34FD"/>
    <w:rsid w:val="001B1BBF"/>
    <w:rsid w:val="001B3ADD"/>
    <w:rsid w:val="001B6DC2"/>
    <w:rsid w:val="001C1499"/>
    <w:rsid w:val="001C149C"/>
    <w:rsid w:val="001C21AC"/>
    <w:rsid w:val="001C47BA"/>
    <w:rsid w:val="001C59EA"/>
    <w:rsid w:val="001D406C"/>
    <w:rsid w:val="001D41EE"/>
    <w:rsid w:val="001D4B9C"/>
    <w:rsid w:val="001D5AD6"/>
    <w:rsid w:val="001E0380"/>
    <w:rsid w:val="001E13B1"/>
    <w:rsid w:val="001E37F7"/>
    <w:rsid w:val="001E3A20"/>
    <w:rsid w:val="001E5F4C"/>
    <w:rsid w:val="001F15EF"/>
    <w:rsid w:val="001F3A19"/>
    <w:rsid w:val="00207134"/>
    <w:rsid w:val="0021338C"/>
    <w:rsid w:val="00227A57"/>
    <w:rsid w:val="0023181B"/>
    <w:rsid w:val="00234467"/>
    <w:rsid w:val="002375C2"/>
    <w:rsid w:val="00237D8D"/>
    <w:rsid w:val="00241DA2"/>
    <w:rsid w:val="00242AD9"/>
    <w:rsid w:val="00247FEE"/>
    <w:rsid w:val="00250E7D"/>
    <w:rsid w:val="002565D5"/>
    <w:rsid w:val="002577C4"/>
    <w:rsid w:val="00260872"/>
    <w:rsid w:val="002622C0"/>
    <w:rsid w:val="002754EB"/>
    <w:rsid w:val="002778AE"/>
    <w:rsid w:val="0028269A"/>
    <w:rsid w:val="00283590"/>
    <w:rsid w:val="00286973"/>
    <w:rsid w:val="00291BD2"/>
    <w:rsid w:val="002920A1"/>
    <w:rsid w:val="00294E70"/>
    <w:rsid w:val="002A077C"/>
    <w:rsid w:val="002A1924"/>
    <w:rsid w:val="002A507B"/>
    <w:rsid w:val="002A7420"/>
    <w:rsid w:val="002B0F12"/>
    <w:rsid w:val="002B1308"/>
    <w:rsid w:val="002B4554"/>
    <w:rsid w:val="002C4D27"/>
    <w:rsid w:val="002C72D8"/>
    <w:rsid w:val="002D11FA"/>
    <w:rsid w:val="002D45A9"/>
    <w:rsid w:val="002E0DDF"/>
    <w:rsid w:val="002E2906"/>
    <w:rsid w:val="002E3AFB"/>
    <w:rsid w:val="002E5635"/>
    <w:rsid w:val="002E5E63"/>
    <w:rsid w:val="002E64C3"/>
    <w:rsid w:val="002E6A2C"/>
    <w:rsid w:val="002F1D8C"/>
    <w:rsid w:val="002F21DA"/>
    <w:rsid w:val="002F2381"/>
    <w:rsid w:val="002F3311"/>
    <w:rsid w:val="00301F39"/>
    <w:rsid w:val="00314581"/>
    <w:rsid w:val="00325926"/>
    <w:rsid w:val="0032727A"/>
    <w:rsid w:val="00327A8A"/>
    <w:rsid w:val="00333971"/>
    <w:rsid w:val="00336610"/>
    <w:rsid w:val="00341F21"/>
    <w:rsid w:val="00343F73"/>
    <w:rsid w:val="00345060"/>
    <w:rsid w:val="00345E8B"/>
    <w:rsid w:val="00347E84"/>
    <w:rsid w:val="0035323B"/>
    <w:rsid w:val="00353341"/>
    <w:rsid w:val="003609D2"/>
    <w:rsid w:val="00361E23"/>
    <w:rsid w:val="00362E25"/>
    <w:rsid w:val="00363F22"/>
    <w:rsid w:val="00375564"/>
    <w:rsid w:val="00383191"/>
    <w:rsid w:val="00386DED"/>
    <w:rsid w:val="003912E7"/>
    <w:rsid w:val="00393947"/>
    <w:rsid w:val="00395FF8"/>
    <w:rsid w:val="003A1A8E"/>
    <w:rsid w:val="003A2275"/>
    <w:rsid w:val="003A27D5"/>
    <w:rsid w:val="003A4355"/>
    <w:rsid w:val="003A6A4F"/>
    <w:rsid w:val="003A7088"/>
    <w:rsid w:val="003B00DF"/>
    <w:rsid w:val="003B1275"/>
    <w:rsid w:val="003B1778"/>
    <w:rsid w:val="003B55A5"/>
    <w:rsid w:val="003B618C"/>
    <w:rsid w:val="003B6C40"/>
    <w:rsid w:val="003B7DF6"/>
    <w:rsid w:val="003C11CB"/>
    <w:rsid w:val="003C75F3"/>
    <w:rsid w:val="003C78A3"/>
    <w:rsid w:val="003D2419"/>
    <w:rsid w:val="003E02D7"/>
    <w:rsid w:val="003E1867"/>
    <w:rsid w:val="003E5729"/>
    <w:rsid w:val="003F4EE0"/>
    <w:rsid w:val="00402153"/>
    <w:rsid w:val="00402FC1"/>
    <w:rsid w:val="004031EF"/>
    <w:rsid w:val="00403608"/>
    <w:rsid w:val="00417CF4"/>
    <w:rsid w:val="0042479C"/>
    <w:rsid w:val="00425082"/>
    <w:rsid w:val="00431DEB"/>
    <w:rsid w:val="00437492"/>
    <w:rsid w:val="00446B29"/>
    <w:rsid w:val="00453F9A"/>
    <w:rsid w:val="00460A2C"/>
    <w:rsid w:val="0047054C"/>
    <w:rsid w:val="004710AF"/>
    <w:rsid w:val="00471774"/>
    <w:rsid w:val="00471E91"/>
    <w:rsid w:val="00474675"/>
    <w:rsid w:val="0047470C"/>
    <w:rsid w:val="004813B9"/>
    <w:rsid w:val="00485D7F"/>
    <w:rsid w:val="00486AEE"/>
    <w:rsid w:val="0049768F"/>
    <w:rsid w:val="004A20CE"/>
    <w:rsid w:val="004A35F9"/>
    <w:rsid w:val="004B24C1"/>
    <w:rsid w:val="004C292F"/>
    <w:rsid w:val="004D1EAB"/>
    <w:rsid w:val="004D39B4"/>
    <w:rsid w:val="004E0CB4"/>
    <w:rsid w:val="004F3591"/>
    <w:rsid w:val="00510280"/>
    <w:rsid w:val="00513D73"/>
    <w:rsid w:val="00514A43"/>
    <w:rsid w:val="005174E5"/>
    <w:rsid w:val="00522393"/>
    <w:rsid w:val="00522620"/>
    <w:rsid w:val="005249D0"/>
    <w:rsid w:val="00525656"/>
    <w:rsid w:val="0053141C"/>
    <w:rsid w:val="00534C02"/>
    <w:rsid w:val="0054264B"/>
    <w:rsid w:val="00542927"/>
    <w:rsid w:val="00543786"/>
    <w:rsid w:val="005443AD"/>
    <w:rsid w:val="0054444E"/>
    <w:rsid w:val="005533D7"/>
    <w:rsid w:val="00553446"/>
    <w:rsid w:val="00554F36"/>
    <w:rsid w:val="005622DA"/>
    <w:rsid w:val="005625A7"/>
    <w:rsid w:val="00565A06"/>
    <w:rsid w:val="005703DE"/>
    <w:rsid w:val="00571260"/>
    <w:rsid w:val="0058464E"/>
    <w:rsid w:val="0059620E"/>
    <w:rsid w:val="005A01CB"/>
    <w:rsid w:val="005A58FF"/>
    <w:rsid w:val="005A5EAF"/>
    <w:rsid w:val="005A6137"/>
    <w:rsid w:val="005A64C0"/>
    <w:rsid w:val="005B3C11"/>
    <w:rsid w:val="005C1C28"/>
    <w:rsid w:val="005C6DB5"/>
    <w:rsid w:val="005E19E7"/>
    <w:rsid w:val="005E224A"/>
    <w:rsid w:val="005E761B"/>
    <w:rsid w:val="005F09B5"/>
    <w:rsid w:val="005F1083"/>
    <w:rsid w:val="005F47AE"/>
    <w:rsid w:val="006040B3"/>
    <w:rsid w:val="00607AB4"/>
    <w:rsid w:val="0061691D"/>
    <w:rsid w:val="0061716C"/>
    <w:rsid w:val="00620299"/>
    <w:rsid w:val="00620C29"/>
    <w:rsid w:val="006243A1"/>
    <w:rsid w:val="00632E56"/>
    <w:rsid w:val="00635CBA"/>
    <w:rsid w:val="0064338B"/>
    <w:rsid w:val="00646542"/>
    <w:rsid w:val="00646977"/>
    <w:rsid w:val="006504F4"/>
    <w:rsid w:val="00652AAF"/>
    <w:rsid w:val="00652EB7"/>
    <w:rsid w:val="00654BC9"/>
    <w:rsid w:val="006552FD"/>
    <w:rsid w:val="00662CCA"/>
    <w:rsid w:val="00663AF3"/>
    <w:rsid w:val="00666B6C"/>
    <w:rsid w:val="006772D5"/>
    <w:rsid w:val="00682682"/>
    <w:rsid w:val="00682702"/>
    <w:rsid w:val="006842AA"/>
    <w:rsid w:val="0069146B"/>
    <w:rsid w:val="00692368"/>
    <w:rsid w:val="006A2EBC"/>
    <w:rsid w:val="006A5EA0"/>
    <w:rsid w:val="006A783B"/>
    <w:rsid w:val="006A7B33"/>
    <w:rsid w:val="006B406F"/>
    <w:rsid w:val="006B4E13"/>
    <w:rsid w:val="006B75DD"/>
    <w:rsid w:val="006B7E08"/>
    <w:rsid w:val="006C2355"/>
    <w:rsid w:val="006C50A6"/>
    <w:rsid w:val="006C67E0"/>
    <w:rsid w:val="006C7ABA"/>
    <w:rsid w:val="006D0D60"/>
    <w:rsid w:val="006D1122"/>
    <w:rsid w:val="006D2F38"/>
    <w:rsid w:val="006D3C00"/>
    <w:rsid w:val="006E3675"/>
    <w:rsid w:val="006E3C34"/>
    <w:rsid w:val="006E4A7F"/>
    <w:rsid w:val="006F11A7"/>
    <w:rsid w:val="00701420"/>
    <w:rsid w:val="00702283"/>
    <w:rsid w:val="00704DF6"/>
    <w:rsid w:val="0070651C"/>
    <w:rsid w:val="00710A8D"/>
    <w:rsid w:val="007132A3"/>
    <w:rsid w:val="00716421"/>
    <w:rsid w:val="0072226B"/>
    <w:rsid w:val="00724EFB"/>
    <w:rsid w:val="00740208"/>
    <w:rsid w:val="007419C3"/>
    <w:rsid w:val="00742404"/>
    <w:rsid w:val="007467A7"/>
    <w:rsid w:val="007469DD"/>
    <w:rsid w:val="0074741B"/>
    <w:rsid w:val="0074759E"/>
    <w:rsid w:val="007478EA"/>
    <w:rsid w:val="0075415C"/>
    <w:rsid w:val="007563D3"/>
    <w:rsid w:val="00763502"/>
    <w:rsid w:val="00767D34"/>
    <w:rsid w:val="00785882"/>
    <w:rsid w:val="007913AB"/>
    <w:rsid w:val="007914F7"/>
    <w:rsid w:val="007B0D66"/>
    <w:rsid w:val="007B1318"/>
    <w:rsid w:val="007B1625"/>
    <w:rsid w:val="007B706E"/>
    <w:rsid w:val="007B71EB"/>
    <w:rsid w:val="007C099A"/>
    <w:rsid w:val="007C6205"/>
    <w:rsid w:val="007C686A"/>
    <w:rsid w:val="007C728E"/>
    <w:rsid w:val="007D2C53"/>
    <w:rsid w:val="007D3D60"/>
    <w:rsid w:val="007E1980"/>
    <w:rsid w:val="007E4B76"/>
    <w:rsid w:val="007E5EA8"/>
    <w:rsid w:val="007F0CF1"/>
    <w:rsid w:val="007F12A5"/>
    <w:rsid w:val="007F4CF1"/>
    <w:rsid w:val="007F6421"/>
    <w:rsid w:val="007F758D"/>
    <w:rsid w:val="007F7D52"/>
    <w:rsid w:val="007F7D80"/>
    <w:rsid w:val="008046BD"/>
    <w:rsid w:val="0080654C"/>
    <w:rsid w:val="008071C6"/>
    <w:rsid w:val="00814DCC"/>
    <w:rsid w:val="00817A00"/>
    <w:rsid w:val="00833D0C"/>
    <w:rsid w:val="00835DB3"/>
    <w:rsid w:val="0083617B"/>
    <w:rsid w:val="008371BD"/>
    <w:rsid w:val="00842770"/>
    <w:rsid w:val="00845619"/>
    <w:rsid w:val="008504A8"/>
    <w:rsid w:val="0085282E"/>
    <w:rsid w:val="0087198C"/>
    <w:rsid w:val="00872C1F"/>
    <w:rsid w:val="00873B42"/>
    <w:rsid w:val="00881A26"/>
    <w:rsid w:val="008856D8"/>
    <w:rsid w:val="00892E82"/>
    <w:rsid w:val="00893F2F"/>
    <w:rsid w:val="00895BF1"/>
    <w:rsid w:val="008A281E"/>
    <w:rsid w:val="008A651B"/>
    <w:rsid w:val="008B416D"/>
    <w:rsid w:val="008B7764"/>
    <w:rsid w:val="008C0546"/>
    <w:rsid w:val="008C1B58"/>
    <w:rsid w:val="008C1D32"/>
    <w:rsid w:val="008C39AE"/>
    <w:rsid w:val="008C590D"/>
    <w:rsid w:val="008D3B86"/>
    <w:rsid w:val="008E031B"/>
    <w:rsid w:val="008E2EFA"/>
    <w:rsid w:val="008E7029"/>
    <w:rsid w:val="008E7EF6"/>
    <w:rsid w:val="008F1F98"/>
    <w:rsid w:val="008F6758"/>
    <w:rsid w:val="008F6A76"/>
    <w:rsid w:val="00901590"/>
    <w:rsid w:val="009040DD"/>
    <w:rsid w:val="00905B47"/>
    <w:rsid w:val="0091224A"/>
    <w:rsid w:val="0091331C"/>
    <w:rsid w:val="009228ED"/>
    <w:rsid w:val="00923BFC"/>
    <w:rsid w:val="009279DE"/>
    <w:rsid w:val="00930116"/>
    <w:rsid w:val="00932141"/>
    <w:rsid w:val="00932728"/>
    <w:rsid w:val="00932FD7"/>
    <w:rsid w:val="00935517"/>
    <w:rsid w:val="0094212C"/>
    <w:rsid w:val="00943EEF"/>
    <w:rsid w:val="00954689"/>
    <w:rsid w:val="009617C9"/>
    <w:rsid w:val="00961C93"/>
    <w:rsid w:val="00965324"/>
    <w:rsid w:val="0097091E"/>
    <w:rsid w:val="009760D3"/>
    <w:rsid w:val="00977132"/>
    <w:rsid w:val="00977A5A"/>
    <w:rsid w:val="00977FE8"/>
    <w:rsid w:val="00980758"/>
    <w:rsid w:val="00981A4B"/>
    <w:rsid w:val="00982501"/>
    <w:rsid w:val="009877D3"/>
    <w:rsid w:val="00994E8F"/>
    <w:rsid w:val="009951DC"/>
    <w:rsid w:val="009959BB"/>
    <w:rsid w:val="00997158"/>
    <w:rsid w:val="009A3A7C"/>
    <w:rsid w:val="009A7DBC"/>
    <w:rsid w:val="009B2ADB"/>
    <w:rsid w:val="009B57EC"/>
    <w:rsid w:val="009B603A"/>
    <w:rsid w:val="009C2D0E"/>
    <w:rsid w:val="009C3DAC"/>
    <w:rsid w:val="009C42E0"/>
    <w:rsid w:val="009C5183"/>
    <w:rsid w:val="009C79A2"/>
    <w:rsid w:val="009D1A5B"/>
    <w:rsid w:val="009D5362"/>
    <w:rsid w:val="009E1415"/>
    <w:rsid w:val="009E6116"/>
    <w:rsid w:val="009F4C2A"/>
    <w:rsid w:val="00A02E43"/>
    <w:rsid w:val="00A03E92"/>
    <w:rsid w:val="00A065F9"/>
    <w:rsid w:val="00A07F34"/>
    <w:rsid w:val="00A205B5"/>
    <w:rsid w:val="00A20CC0"/>
    <w:rsid w:val="00A22154"/>
    <w:rsid w:val="00A25C38"/>
    <w:rsid w:val="00A27EC3"/>
    <w:rsid w:val="00A32D75"/>
    <w:rsid w:val="00A36BBE"/>
    <w:rsid w:val="00A40A7B"/>
    <w:rsid w:val="00A41DF2"/>
    <w:rsid w:val="00A4307A"/>
    <w:rsid w:val="00A47EBB"/>
    <w:rsid w:val="00A51CDD"/>
    <w:rsid w:val="00A6730D"/>
    <w:rsid w:val="00A71625"/>
    <w:rsid w:val="00A71B9B"/>
    <w:rsid w:val="00A7204D"/>
    <w:rsid w:val="00A73A47"/>
    <w:rsid w:val="00A751C7"/>
    <w:rsid w:val="00A87844"/>
    <w:rsid w:val="00AA038C"/>
    <w:rsid w:val="00AA3B47"/>
    <w:rsid w:val="00AA3BD4"/>
    <w:rsid w:val="00AA7A09"/>
    <w:rsid w:val="00AB1615"/>
    <w:rsid w:val="00AB31B0"/>
    <w:rsid w:val="00AB3B50"/>
    <w:rsid w:val="00AC05B1"/>
    <w:rsid w:val="00AC26A6"/>
    <w:rsid w:val="00AD356C"/>
    <w:rsid w:val="00AD5283"/>
    <w:rsid w:val="00AD5648"/>
    <w:rsid w:val="00AE2914"/>
    <w:rsid w:val="00AE6189"/>
    <w:rsid w:val="00AE6D15"/>
    <w:rsid w:val="00AF1DE9"/>
    <w:rsid w:val="00AF5EAA"/>
    <w:rsid w:val="00B01D7C"/>
    <w:rsid w:val="00B04182"/>
    <w:rsid w:val="00B07616"/>
    <w:rsid w:val="00B07AE3"/>
    <w:rsid w:val="00B11430"/>
    <w:rsid w:val="00B26F24"/>
    <w:rsid w:val="00B353EB"/>
    <w:rsid w:val="00B439C4"/>
    <w:rsid w:val="00B4535E"/>
    <w:rsid w:val="00B51072"/>
    <w:rsid w:val="00B52A8C"/>
    <w:rsid w:val="00B61928"/>
    <w:rsid w:val="00B636A8"/>
    <w:rsid w:val="00B665C6"/>
    <w:rsid w:val="00B67F87"/>
    <w:rsid w:val="00B74566"/>
    <w:rsid w:val="00B805AF"/>
    <w:rsid w:val="00B869EC"/>
    <w:rsid w:val="00B9397A"/>
    <w:rsid w:val="00B9633D"/>
    <w:rsid w:val="00BA2EBE"/>
    <w:rsid w:val="00BA7D15"/>
    <w:rsid w:val="00BB0F28"/>
    <w:rsid w:val="00BB458A"/>
    <w:rsid w:val="00BB60A8"/>
    <w:rsid w:val="00BC3C94"/>
    <w:rsid w:val="00BD00D3"/>
    <w:rsid w:val="00BD1659"/>
    <w:rsid w:val="00BD3AA9"/>
    <w:rsid w:val="00BD3E05"/>
    <w:rsid w:val="00BD4A18"/>
    <w:rsid w:val="00BD6DB2"/>
    <w:rsid w:val="00BE11CF"/>
    <w:rsid w:val="00BE21AB"/>
    <w:rsid w:val="00BE55CB"/>
    <w:rsid w:val="00BF617A"/>
    <w:rsid w:val="00C00A82"/>
    <w:rsid w:val="00C02F50"/>
    <w:rsid w:val="00C0379D"/>
    <w:rsid w:val="00C03931"/>
    <w:rsid w:val="00C05FE3"/>
    <w:rsid w:val="00C11BB8"/>
    <w:rsid w:val="00C1346C"/>
    <w:rsid w:val="00C1400E"/>
    <w:rsid w:val="00C2136D"/>
    <w:rsid w:val="00C214EE"/>
    <w:rsid w:val="00C2314B"/>
    <w:rsid w:val="00C23FD3"/>
    <w:rsid w:val="00C24971"/>
    <w:rsid w:val="00C25AA8"/>
    <w:rsid w:val="00C26BE5"/>
    <w:rsid w:val="00C26E4D"/>
    <w:rsid w:val="00C27909"/>
    <w:rsid w:val="00C27B03"/>
    <w:rsid w:val="00C314E1"/>
    <w:rsid w:val="00C34397"/>
    <w:rsid w:val="00C4095D"/>
    <w:rsid w:val="00C45D08"/>
    <w:rsid w:val="00C47820"/>
    <w:rsid w:val="00C5499E"/>
    <w:rsid w:val="00C56962"/>
    <w:rsid w:val="00C601D2"/>
    <w:rsid w:val="00C62602"/>
    <w:rsid w:val="00C657AB"/>
    <w:rsid w:val="00C65BCC"/>
    <w:rsid w:val="00C66970"/>
    <w:rsid w:val="00C70334"/>
    <w:rsid w:val="00C73183"/>
    <w:rsid w:val="00C74257"/>
    <w:rsid w:val="00C8043F"/>
    <w:rsid w:val="00C84D23"/>
    <w:rsid w:val="00C86268"/>
    <w:rsid w:val="00C8691C"/>
    <w:rsid w:val="00C93293"/>
    <w:rsid w:val="00CA168A"/>
    <w:rsid w:val="00CA357E"/>
    <w:rsid w:val="00CA44F9"/>
    <w:rsid w:val="00CA4A69"/>
    <w:rsid w:val="00CB0B8C"/>
    <w:rsid w:val="00CC3E0C"/>
    <w:rsid w:val="00CC58D3"/>
    <w:rsid w:val="00CC784D"/>
    <w:rsid w:val="00CE47A2"/>
    <w:rsid w:val="00CF0EF7"/>
    <w:rsid w:val="00D0337B"/>
    <w:rsid w:val="00D079B2"/>
    <w:rsid w:val="00D114E9"/>
    <w:rsid w:val="00D11E01"/>
    <w:rsid w:val="00D16235"/>
    <w:rsid w:val="00D429C6"/>
    <w:rsid w:val="00D45E85"/>
    <w:rsid w:val="00D47748"/>
    <w:rsid w:val="00D531A4"/>
    <w:rsid w:val="00D54CC3"/>
    <w:rsid w:val="00D56544"/>
    <w:rsid w:val="00D571B0"/>
    <w:rsid w:val="00D6041A"/>
    <w:rsid w:val="00D633EB"/>
    <w:rsid w:val="00D6615A"/>
    <w:rsid w:val="00D75BF1"/>
    <w:rsid w:val="00D76274"/>
    <w:rsid w:val="00D8015C"/>
    <w:rsid w:val="00D81748"/>
    <w:rsid w:val="00D82FF7"/>
    <w:rsid w:val="00D847FE"/>
    <w:rsid w:val="00D964EA"/>
    <w:rsid w:val="00D966D0"/>
    <w:rsid w:val="00DA0C59"/>
    <w:rsid w:val="00DA3991"/>
    <w:rsid w:val="00DA425B"/>
    <w:rsid w:val="00DB4492"/>
    <w:rsid w:val="00DB7E6C"/>
    <w:rsid w:val="00DC0CB6"/>
    <w:rsid w:val="00DC4D7C"/>
    <w:rsid w:val="00DD5A29"/>
    <w:rsid w:val="00DD5D9D"/>
    <w:rsid w:val="00DE15A9"/>
    <w:rsid w:val="00DE35CB"/>
    <w:rsid w:val="00DF21E9"/>
    <w:rsid w:val="00DF3ED9"/>
    <w:rsid w:val="00E00F14"/>
    <w:rsid w:val="00E02F11"/>
    <w:rsid w:val="00E06386"/>
    <w:rsid w:val="00E06A9F"/>
    <w:rsid w:val="00E06DEF"/>
    <w:rsid w:val="00E113B9"/>
    <w:rsid w:val="00E12AEE"/>
    <w:rsid w:val="00E14245"/>
    <w:rsid w:val="00E24EB4"/>
    <w:rsid w:val="00E252AC"/>
    <w:rsid w:val="00E26C98"/>
    <w:rsid w:val="00E320ED"/>
    <w:rsid w:val="00E33AFB"/>
    <w:rsid w:val="00E34218"/>
    <w:rsid w:val="00E34E92"/>
    <w:rsid w:val="00E42177"/>
    <w:rsid w:val="00E46282"/>
    <w:rsid w:val="00E5216E"/>
    <w:rsid w:val="00E65DC7"/>
    <w:rsid w:val="00E66DA9"/>
    <w:rsid w:val="00E77C4B"/>
    <w:rsid w:val="00E82344"/>
    <w:rsid w:val="00E84C82"/>
    <w:rsid w:val="00E84D64"/>
    <w:rsid w:val="00E87408"/>
    <w:rsid w:val="00E914C4"/>
    <w:rsid w:val="00E934F5"/>
    <w:rsid w:val="00E96961"/>
    <w:rsid w:val="00EA0D16"/>
    <w:rsid w:val="00EA72EC"/>
    <w:rsid w:val="00EB11CB"/>
    <w:rsid w:val="00EB275A"/>
    <w:rsid w:val="00EB786A"/>
    <w:rsid w:val="00EC1578"/>
    <w:rsid w:val="00EC1C72"/>
    <w:rsid w:val="00EC3CC9"/>
    <w:rsid w:val="00EC680A"/>
    <w:rsid w:val="00EC7B83"/>
    <w:rsid w:val="00ED7051"/>
    <w:rsid w:val="00EE00E3"/>
    <w:rsid w:val="00EE2BED"/>
    <w:rsid w:val="00EE374B"/>
    <w:rsid w:val="00EF1137"/>
    <w:rsid w:val="00EF7A63"/>
    <w:rsid w:val="00F11BB5"/>
    <w:rsid w:val="00F1417B"/>
    <w:rsid w:val="00F159A4"/>
    <w:rsid w:val="00F15FA8"/>
    <w:rsid w:val="00F30383"/>
    <w:rsid w:val="00F338CD"/>
    <w:rsid w:val="00F34B99"/>
    <w:rsid w:val="00F42292"/>
    <w:rsid w:val="00F43ED7"/>
    <w:rsid w:val="00F446B2"/>
    <w:rsid w:val="00F52DAB"/>
    <w:rsid w:val="00F543F0"/>
    <w:rsid w:val="00F56FE4"/>
    <w:rsid w:val="00F72B2A"/>
    <w:rsid w:val="00F72B37"/>
    <w:rsid w:val="00F734CB"/>
    <w:rsid w:val="00F77D9F"/>
    <w:rsid w:val="00F81406"/>
    <w:rsid w:val="00F81D29"/>
    <w:rsid w:val="00F837DD"/>
    <w:rsid w:val="00F91C4D"/>
    <w:rsid w:val="00F92FD9"/>
    <w:rsid w:val="00F945CA"/>
    <w:rsid w:val="00FA26A8"/>
    <w:rsid w:val="00FA40BE"/>
    <w:rsid w:val="00FA6684"/>
    <w:rsid w:val="00FA731E"/>
    <w:rsid w:val="00FA7EB2"/>
    <w:rsid w:val="00FB1819"/>
    <w:rsid w:val="00FB2B38"/>
    <w:rsid w:val="00FB34D1"/>
    <w:rsid w:val="00FC2EAC"/>
    <w:rsid w:val="00FC6358"/>
    <w:rsid w:val="00FC6926"/>
    <w:rsid w:val="00FD1519"/>
    <w:rsid w:val="00FD320D"/>
    <w:rsid w:val="00FE23DE"/>
    <w:rsid w:val="00FE6A13"/>
    <w:rsid w:val="01E11BFF"/>
    <w:rsid w:val="06F16D22"/>
    <w:rsid w:val="075734DE"/>
    <w:rsid w:val="087606E9"/>
    <w:rsid w:val="09632A56"/>
    <w:rsid w:val="18564EB8"/>
    <w:rsid w:val="19CF7106"/>
    <w:rsid w:val="2A1C57EF"/>
    <w:rsid w:val="2A473BB7"/>
    <w:rsid w:val="2B4C2956"/>
    <w:rsid w:val="2D5A2852"/>
    <w:rsid w:val="3127156B"/>
    <w:rsid w:val="33E12415"/>
    <w:rsid w:val="343F4C64"/>
    <w:rsid w:val="37C61A6B"/>
    <w:rsid w:val="37EE3827"/>
    <w:rsid w:val="4244276D"/>
    <w:rsid w:val="46F46738"/>
    <w:rsid w:val="48FD7B2F"/>
    <w:rsid w:val="4EC76AA3"/>
    <w:rsid w:val="4F0938E5"/>
    <w:rsid w:val="5B931DD4"/>
    <w:rsid w:val="5BE172CE"/>
    <w:rsid w:val="5DF4726E"/>
    <w:rsid w:val="64784AA4"/>
    <w:rsid w:val="6B5C0D7C"/>
    <w:rsid w:val="6D01582E"/>
    <w:rsid w:val="6D3F7161"/>
    <w:rsid w:val="6DD37F2F"/>
    <w:rsid w:val="6EB115C7"/>
    <w:rsid w:val="713900FE"/>
    <w:rsid w:val="77585FC0"/>
    <w:rsid w:val="7EDC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Char"/>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semiHidden/>
    <w:qFormat/>
    <w:pPr>
      <w:tabs>
        <w:tab w:val="right" w:leader="dot" w:pos="9241"/>
      </w:tabs>
      <w:ind w:firstLineChars="100" w:firstLine="100"/>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9">
    <w:name w:val="endnote text"/>
    <w:basedOn w:val="aff2"/>
    <w:semiHidden/>
    <w:qFormat/>
    <w:pPr>
      <w:snapToGrid w:val="0"/>
      <w:jc w:val="left"/>
    </w:pPr>
  </w:style>
  <w:style w:type="paragraph" w:styleId="affa">
    <w:name w:val="Balloon Text"/>
    <w:basedOn w:val="aff2"/>
    <w:link w:val="Char0"/>
    <w:qFormat/>
    <w:rPr>
      <w:sz w:val="18"/>
      <w:szCs w:val="18"/>
    </w:rPr>
  </w:style>
  <w:style w:type="paragraph" w:styleId="affb">
    <w:name w:val="footer"/>
    <w:basedOn w:val="aff2"/>
    <w:qFormat/>
    <w:pPr>
      <w:snapToGrid w:val="0"/>
      <w:ind w:rightChars="100" w:right="210"/>
      <w:jc w:val="right"/>
    </w:pPr>
    <w:rPr>
      <w:sz w:val="18"/>
      <w:szCs w:val="18"/>
    </w:rPr>
  </w:style>
  <w:style w:type="paragraph" w:styleId="affc">
    <w:name w:val="header"/>
    <w:basedOn w:val="aff2"/>
    <w:qFormat/>
    <w:pPr>
      <w:snapToGrid w:val="0"/>
      <w:jc w:val="left"/>
    </w:pPr>
    <w:rPr>
      <w:sz w:val="18"/>
      <w:szCs w:val="18"/>
    </w:rPr>
  </w:style>
  <w:style w:type="paragraph" w:styleId="1">
    <w:name w:val="toc 1"/>
    <w:basedOn w:val="aff2"/>
    <w:next w:val="aff2"/>
    <w:semiHidden/>
    <w:qFormat/>
    <w:pPr>
      <w:tabs>
        <w:tab w:val="right" w:leader="dot" w:pos="9242"/>
      </w:tabs>
      <w:spacing w:beforeLines="25" w:before="25" w:afterLines="25" w:after="25"/>
      <w:jc w:val="left"/>
    </w:pPr>
    <w:rPr>
      <w:rFonts w:ascii="宋体"/>
      <w:szCs w:val="21"/>
    </w:rPr>
  </w:style>
  <w:style w:type="paragraph" w:styleId="40">
    <w:name w:val="toc 4"/>
    <w:basedOn w:val="aff2"/>
    <w:next w:val="aff2"/>
    <w:semiHidden/>
    <w:qFormat/>
    <w:pPr>
      <w:tabs>
        <w:tab w:val="right" w:leader="dot" w:pos="9241"/>
      </w:tabs>
      <w:ind w:firstLineChars="200" w:firstLine="200"/>
      <w:jc w:val="left"/>
    </w:pPr>
    <w:rPr>
      <w:rFonts w:ascii="宋体"/>
      <w:szCs w:val="21"/>
    </w:rPr>
  </w:style>
  <w:style w:type="paragraph" w:styleId="affd">
    <w:name w:val="index heading"/>
    <w:basedOn w:val="aff2"/>
    <w:next w:val="10"/>
    <w:qFormat/>
    <w:pPr>
      <w:spacing w:before="120" w:after="120"/>
      <w:jc w:val="center"/>
    </w:pPr>
    <w:rPr>
      <w:rFonts w:ascii="Calibri" w:hAnsi="Calibri"/>
      <w:b/>
      <w:bCs/>
      <w:iCs/>
      <w:szCs w:val="20"/>
    </w:rPr>
  </w:style>
  <w:style w:type="paragraph" w:styleId="10">
    <w:name w:val="index 1"/>
    <w:basedOn w:val="aff2"/>
    <w:next w:val="affe"/>
    <w:qFormat/>
    <w:pPr>
      <w:tabs>
        <w:tab w:val="right" w:leader="dot" w:pos="9299"/>
      </w:tabs>
      <w:jc w:val="left"/>
    </w:pPr>
    <w:rPr>
      <w:rFonts w:ascii="宋体"/>
      <w:szCs w:val="21"/>
    </w:rPr>
  </w:style>
  <w:style w:type="paragraph" w:customStyle="1" w:styleId="affe">
    <w:name w:val="段"/>
    <w:link w:val="Char1"/>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0"/>
      <w:jc w:val="left"/>
    </w:pPr>
    <w:rPr>
      <w:rFonts w:ascii="宋体"/>
      <w:szCs w:val="21"/>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semiHidden/>
    <w:qFormat/>
    <w:pPr>
      <w:tabs>
        <w:tab w:val="right" w:leader="dot" w:pos="9242"/>
      </w:tabs>
    </w:pPr>
    <w:rPr>
      <w:rFonts w:ascii="宋体"/>
      <w:szCs w:val="21"/>
    </w:rPr>
  </w:style>
  <w:style w:type="paragraph" w:styleId="90">
    <w:name w:val="toc 9"/>
    <w:basedOn w:val="aff2"/>
    <w:next w:val="aff2"/>
    <w:semiHidden/>
    <w:qFormat/>
    <w:pPr>
      <w:ind w:left="1470"/>
      <w:jc w:val="left"/>
    </w:pPr>
    <w:rPr>
      <w:sz w:val="20"/>
      <w:szCs w:val="20"/>
    </w:rPr>
  </w:style>
  <w:style w:type="paragraph" w:styleId="20">
    <w:name w:val="index 2"/>
    <w:basedOn w:val="aff2"/>
    <w:next w:val="aff2"/>
    <w:qFormat/>
    <w:pPr>
      <w:ind w:left="420" w:hanging="210"/>
      <w:jc w:val="left"/>
    </w:pPr>
    <w:rPr>
      <w:rFonts w:ascii="Calibri" w:hAnsi="Calibri"/>
      <w:sz w:val="20"/>
      <w:szCs w:val="20"/>
    </w:rPr>
  </w:style>
  <w:style w:type="paragraph" w:styleId="afff">
    <w:name w:val="annotation subject"/>
    <w:basedOn w:val="aff8"/>
    <w:next w:val="aff8"/>
    <w:link w:val="Char2"/>
    <w:rPr>
      <w:b/>
      <w:bCs/>
    </w:rPr>
  </w:style>
  <w:style w:type="table" w:styleId="afff0">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Hyperlink"/>
    <w:qFormat/>
    <w:rPr>
      <w:color w:val="0000FF"/>
      <w:spacing w:val="0"/>
      <w:w w:val="100"/>
      <w:szCs w:val="21"/>
      <w:u w:val="single"/>
    </w:rPr>
  </w:style>
  <w:style w:type="character" w:styleId="afff5">
    <w:name w:val="annotation reference"/>
    <w:basedOn w:val="aff3"/>
    <w:rPr>
      <w:sz w:val="21"/>
      <w:szCs w:val="21"/>
    </w:rPr>
  </w:style>
  <w:style w:type="character" w:styleId="afff6">
    <w:name w:val="footnote reference"/>
    <w:semiHidden/>
    <w:qFormat/>
    <w:rPr>
      <w:vertAlign w:val="superscript"/>
    </w:rPr>
  </w:style>
  <w:style w:type="character" w:customStyle="1" w:styleId="Char1">
    <w:name w:val="段 Char"/>
    <w:link w:val="affe"/>
    <w:qFormat/>
    <w:rPr>
      <w:rFonts w:ascii="宋体"/>
      <w:sz w:val="21"/>
      <w:lang w:val="en-US" w:eastAsia="zh-CN" w:bidi="ar-SA"/>
    </w:rPr>
  </w:style>
  <w:style w:type="paragraph" w:customStyle="1" w:styleId="a5">
    <w:name w:val="一级条标题"/>
    <w:next w:val="affe"/>
    <w:qFormat/>
    <w:pPr>
      <w:numPr>
        <w:ilvl w:val="1"/>
        <w:numId w:val="2"/>
      </w:numPr>
      <w:spacing w:beforeLines="50" w:before="156" w:afterLines="50" w:after="156"/>
      <w:ind w:left="2553"/>
      <w:outlineLvl w:val="2"/>
    </w:pPr>
    <w:rPr>
      <w:rFonts w:ascii="黑体" w:eastAsia="黑体"/>
      <w:sz w:val="21"/>
      <w:szCs w:val="21"/>
    </w:rPr>
  </w:style>
  <w:style w:type="paragraph" w:customStyle="1" w:styleId="afff7">
    <w:name w:val="标准书脚_奇数页"/>
    <w:qFormat/>
    <w:pPr>
      <w:spacing w:before="120"/>
      <w:ind w:right="198"/>
      <w:jc w:val="right"/>
    </w:pPr>
    <w:rPr>
      <w:rFonts w:ascii="宋体"/>
      <w:sz w:val="18"/>
      <w:szCs w:val="18"/>
    </w:rPr>
  </w:style>
  <w:style w:type="paragraph" w:customStyle="1" w:styleId="afff8">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4">
    <w:name w:val="章标题"/>
    <w:next w:val="affe"/>
    <w:qFormat/>
    <w:pPr>
      <w:numPr>
        <w:numId w:val="2"/>
      </w:numPr>
      <w:spacing w:beforeLines="100" w:before="312" w:afterLines="100" w:after="312"/>
      <w:jc w:val="both"/>
      <w:outlineLvl w:val="1"/>
    </w:pPr>
    <w:rPr>
      <w:rFonts w:ascii="黑体" w:eastAsia="黑体"/>
      <w:sz w:val="21"/>
    </w:rPr>
  </w:style>
  <w:style w:type="paragraph" w:customStyle="1" w:styleId="a6">
    <w:name w:val="二级条标题"/>
    <w:basedOn w:val="a5"/>
    <w:next w:val="affe"/>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9">
    <w:name w:val="目次、标准名称标题"/>
    <w:basedOn w:val="aff2"/>
    <w:next w:val="a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e"/>
    <w:qFormat/>
    <w:pPr>
      <w:numPr>
        <w:ilvl w:val="3"/>
      </w:numPr>
      <w:outlineLvl w:val="4"/>
    </w:pPr>
  </w:style>
  <w:style w:type="paragraph" w:customStyle="1" w:styleId="a1">
    <w:name w:val="示例"/>
    <w:next w:val="afffa"/>
    <w:qFormat/>
    <w:pPr>
      <w:widowControl w:val="0"/>
      <w:numPr>
        <w:numId w:val="4"/>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f1">
    <w:name w:val="数字编号列项（二级）"/>
    <w:qFormat/>
    <w:pPr>
      <w:numPr>
        <w:ilvl w:val="1"/>
        <w:numId w:val="5"/>
      </w:numPr>
      <w:jc w:val="both"/>
    </w:pPr>
    <w:rPr>
      <w:rFonts w:ascii="宋体"/>
      <w:sz w:val="21"/>
    </w:rPr>
  </w:style>
  <w:style w:type="paragraph" w:customStyle="1" w:styleId="a8">
    <w:name w:val="四级条标题"/>
    <w:basedOn w:val="a7"/>
    <w:next w:val="affe"/>
    <w:qFormat/>
    <w:pPr>
      <w:numPr>
        <w:ilvl w:val="4"/>
      </w:numPr>
      <w:outlineLvl w:val="5"/>
    </w:pPr>
  </w:style>
  <w:style w:type="paragraph" w:customStyle="1" w:styleId="a9">
    <w:name w:val="五级条标题"/>
    <w:basedOn w:val="a8"/>
    <w:next w:val="affe"/>
    <w:qFormat/>
    <w:pPr>
      <w:numPr>
        <w:ilvl w:val="5"/>
      </w:numPr>
      <w:outlineLvl w:val="6"/>
    </w:pPr>
  </w:style>
  <w:style w:type="paragraph" w:customStyle="1" w:styleId="aff1">
    <w:name w:val="注："/>
    <w:next w:val="affe"/>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0">
    <w:name w:val="字母编号列项（一级）"/>
    <w:qFormat/>
    <w:pPr>
      <w:numPr>
        <w:numId w:val="5"/>
      </w:numPr>
      <w:jc w:val="both"/>
    </w:pPr>
    <w:rPr>
      <w:rFonts w:ascii="宋体"/>
      <w:sz w:val="21"/>
    </w:rPr>
  </w:style>
  <w:style w:type="paragraph" w:customStyle="1" w:styleId="ae">
    <w:name w:val="列项◆（三级）"/>
    <w:basedOn w:val="aff2"/>
    <w:qFormat/>
    <w:pPr>
      <w:numPr>
        <w:ilvl w:val="2"/>
        <w:numId w:val="3"/>
      </w:numPr>
    </w:pPr>
    <w:rPr>
      <w:rFonts w:ascii="宋体"/>
      <w:szCs w:val="21"/>
    </w:rPr>
  </w:style>
  <w:style w:type="paragraph" w:customStyle="1" w:styleId="af2">
    <w:name w:val="编号列项（三级）"/>
    <w:qFormat/>
    <w:pPr>
      <w:numPr>
        <w:ilvl w:val="2"/>
        <w:numId w:val="5"/>
      </w:numPr>
    </w:pPr>
    <w:rPr>
      <w:rFonts w:ascii="宋体"/>
      <w:sz w:val="21"/>
    </w:rPr>
  </w:style>
  <w:style w:type="paragraph" w:customStyle="1" w:styleId="af3">
    <w:name w:val="示例×："/>
    <w:basedOn w:val="a4"/>
    <w:qFormat/>
    <w:pPr>
      <w:numPr>
        <w:numId w:val="8"/>
      </w:numPr>
      <w:spacing w:beforeLines="0" w:before="0" w:afterLines="0" w:after="0"/>
      <w:outlineLvl w:val="9"/>
    </w:pPr>
    <w:rPr>
      <w:rFonts w:ascii="宋体" w:eastAsia="宋体"/>
      <w:sz w:val="18"/>
      <w:szCs w:val="18"/>
    </w:rPr>
  </w:style>
  <w:style w:type="paragraph" w:customStyle="1" w:styleId="afffb">
    <w:name w:val="二级无"/>
    <w:basedOn w:val="a6"/>
    <w:qFormat/>
    <w:pPr>
      <w:spacing w:beforeLines="0" w:before="0" w:afterLines="0" w:after="0"/>
    </w:pPr>
    <w:rPr>
      <w:rFonts w:ascii="宋体" w:eastAsia="宋体"/>
    </w:rPr>
  </w:style>
  <w:style w:type="paragraph" w:customStyle="1" w:styleId="afffc">
    <w:name w:val="注：（正文）"/>
    <w:basedOn w:val="aff1"/>
    <w:next w:val="affe"/>
    <w:qFormat/>
  </w:style>
  <w:style w:type="paragraph" w:customStyle="1" w:styleId="a3">
    <w:name w:val="注×：（正文）"/>
    <w:qFormat/>
    <w:pPr>
      <w:numPr>
        <w:numId w:val="9"/>
      </w:numPr>
      <w:jc w:val="both"/>
    </w:pPr>
    <w:rPr>
      <w:rFonts w:ascii="宋体"/>
      <w:sz w:val="18"/>
      <w:szCs w:val="18"/>
    </w:rPr>
  </w:style>
  <w:style w:type="paragraph" w:customStyle="1" w:styleId="afffd">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pPr>
      <w:spacing w:before="120"/>
      <w:ind w:left="221"/>
    </w:pPr>
    <w:rPr>
      <w:rFonts w:ascii="宋体"/>
      <w:sz w:val="18"/>
      <w:szCs w:val="18"/>
    </w:rPr>
  </w:style>
  <w:style w:type="paragraph" w:customStyle="1" w:styleId="affff0">
    <w:name w:val="标准书眉_偶数页"/>
    <w:basedOn w:val="afff8"/>
    <w:next w:val="aff2"/>
    <w:qFormat/>
    <w:pPr>
      <w:jc w:val="left"/>
    </w:pPr>
  </w:style>
  <w:style w:type="paragraph" w:customStyle="1" w:styleId="affff1">
    <w:name w:val="标准书眉一"/>
    <w:qFormat/>
    <w:pPr>
      <w:jc w:val="both"/>
    </w:pPr>
  </w:style>
  <w:style w:type="paragraph" w:customStyle="1" w:styleId="affff2">
    <w:name w:val="参考文献"/>
    <w:basedOn w:val="aff2"/>
    <w:next w:val="a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qFormat/>
    <w:rPr>
      <w:rFonts w:ascii="黑体" w:eastAsia="黑体"/>
      <w:spacing w:val="85"/>
      <w:w w:val="100"/>
      <w:position w:val="3"/>
      <w:sz w:val="28"/>
      <w:szCs w:val="28"/>
    </w:rPr>
  </w:style>
  <w:style w:type="paragraph" w:customStyle="1" w:styleId="affff5">
    <w:name w:val="发布部门"/>
    <w:next w:val="a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qFormat/>
    <w:pPr>
      <w:framePr w:w="3997" w:h="471" w:hRule="exact" w:vSpace="181" w:wrap="around" w:hAnchor="page" w:x="7089" w:y="14097" w:anchorLock="1"/>
    </w:pPr>
    <w:rPr>
      <w:rFonts w:eastAsia="黑体"/>
      <w:sz w:val="28"/>
    </w:rPr>
  </w:style>
  <w:style w:type="paragraph" w:customStyle="1" w:styleId="a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pPr>
      <w:framePr w:wrap="around"/>
      <w:spacing w:before="370" w:line="400" w:lineRule="exact"/>
    </w:pPr>
    <w:rPr>
      <w:rFonts w:ascii="Times New Roman"/>
      <w:sz w:val="28"/>
      <w:szCs w:val="28"/>
    </w:rPr>
  </w:style>
  <w:style w:type="paragraph" w:customStyle="1" w:styleId="affffa">
    <w:name w:val="封面一致性程度标识"/>
    <w:basedOn w:val="affff9"/>
    <w:qFormat/>
    <w:pPr>
      <w:framePr w:wrap="around"/>
      <w:spacing w:before="440"/>
    </w:pPr>
    <w:rPr>
      <w:rFonts w:ascii="宋体" w:eastAsia="宋体"/>
    </w:rPr>
  </w:style>
  <w:style w:type="paragraph" w:customStyle="1" w:styleId="affffb">
    <w:name w:val="封面标准文稿类别"/>
    <w:basedOn w:val="affffa"/>
    <w:qFormat/>
    <w:pPr>
      <w:framePr w:wrap="around"/>
      <w:spacing w:after="160" w:line="240" w:lineRule="auto"/>
    </w:pPr>
    <w:rPr>
      <w:sz w:val="24"/>
    </w:rPr>
  </w:style>
  <w:style w:type="paragraph" w:customStyle="1" w:styleId="affffc">
    <w:name w:val="封面标准文稿编辑信息"/>
    <w:basedOn w:val="affffb"/>
    <w:qFormat/>
    <w:pPr>
      <w:framePr w:wrap="around"/>
      <w:spacing w:before="180" w:line="180" w:lineRule="exact"/>
    </w:pPr>
    <w:rPr>
      <w:sz w:val="21"/>
    </w:rPr>
  </w:style>
  <w:style w:type="paragraph" w:customStyle="1" w:styleId="affffd">
    <w:name w:val="封面正文"/>
    <w:qFormat/>
    <w:pPr>
      <w:jc w:val="both"/>
    </w:pPr>
  </w:style>
  <w:style w:type="paragraph" w:customStyle="1" w:styleId="af8">
    <w:name w:val="附录标识"/>
    <w:basedOn w:val="aff2"/>
    <w:next w:val="affe"/>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e"/>
    <w:next w:val="affe"/>
    <w:qFormat/>
    <w:pPr>
      <w:ind w:firstLineChars="0" w:firstLine="0"/>
      <w:jc w:val="center"/>
    </w:pPr>
    <w:rPr>
      <w:rFonts w:ascii="黑体" w:eastAsia="黑体"/>
    </w:rPr>
  </w:style>
  <w:style w:type="paragraph" w:customStyle="1" w:styleId="af5">
    <w:name w:val="附录表标号"/>
    <w:basedOn w:val="aff2"/>
    <w:next w:val="affe"/>
    <w:qFormat/>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e"/>
    <w:qFormat/>
    <w:pPr>
      <w:numPr>
        <w:ilvl w:val="1"/>
        <w:numId w:val="11"/>
      </w:numPr>
      <w:tabs>
        <w:tab w:val="left"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e"/>
    <w:qFormat/>
    <w:pPr>
      <w:widowControl/>
      <w:numPr>
        <w:ilvl w:val="3"/>
        <w:numId w:val="10"/>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
    <w:name w:val="附录二级无"/>
    <w:basedOn w:val="afb"/>
    <w:qFormat/>
    <w:pPr>
      <w:tabs>
        <w:tab w:val="clear" w:pos="360"/>
      </w:tabs>
      <w:spacing w:beforeLines="0" w:before="0" w:afterLines="0" w:after="0"/>
    </w:pPr>
    <w:rPr>
      <w:rFonts w:ascii="宋体" w:eastAsia="宋体"/>
      <w:szCs w:val="21"/>
    </w:rPr>
  </w:style>
  <w:style w:type="paragraph" w:customStyle="1" w:styleId="afffff0">
    <w:name w:val="附录公式"/>
    <w:basedOn w:val="affe"/>
    <w:next w:val="affe"/>
    <w:link w:val="Char3"/>
    <w:qFormat/>
  </w:style>
  <w:style w:type="character" w:customStyle="1" w:styleId="Char3">
    <w:name w:val="附录公式 Char"/>
    <w:basedOn w:val="Char1"/>
    <w:link w:val="afffff0"/>
    <w:qFormat/>
    <w:rPr>
      <w:rFonts w:ascii="宋体"/>
      <w:sz w:val="21"/>
      <w:lang w:val="en-US" w:eastAsia="zh-CN" w:bidi="ar-SA"/>
    </w:rPr>
  </w:style>
  <w:style w:type="paragraph" w:customStyle="1" w:styleId="afffff1">
    <w:name w:val="附录公式编号制表符"/>
    <w:basedOn w:val="aff2"/>
    <w:next w:val="affe"/>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e"/>
    <w:qFormat/>
    <w:pPr>
      <w:numPr>
        <w:ilvl w:val="4"/>
      </w:numPr>
      <w:outlineLvl w:val="4"/>
    </w:pPr>
  </w:style>
  <w:style w:type="paragraph" w:customStyle="1" w:styleId="afffff2">
    <w:name w:val="附录三级无"/>
    <w:basedOn w:val="afc"/>
    <w:qFormat/>
    <w:pPr>
      <w:tabs>
        <w:tab w:val="clear" w:pos="360"/>
      </w:tabs>
      <w:spacing w:beforeLines="0" w:before="0" w:afterLines="0" w:after="0"/>
    </w:pPr>
    <w:rPr>
      <w:rFonts w:ascii="宋体" w:eastAsia="宋体"/>
      <w:szCs w:val="21"/>
    </w:rPr>
  </w:style>
  <w:style w:type="paragraph" w:customStyle="1" w:styleId="aff0">
    <w:name w:val="附录数字编号列项（二级）"/>
    <w:qFormat/>
    <w:pPr>
      <w:numPr>
        <w:ilvl w:val="1"/>
        <w:numId w:val="12"/>
      </w:numPr>
    </w:pPr>
    <w:rPr>
      <w:rFonts w:ascii="宋体"/>
      <w:sz w:val="21"/>
    </w:rPr>
  </w:style>
  <w:style w:type="paragraph" w:customStyle="1" w:styleId="afd">
    <w:name w:val="附录四级条标题"/>
    <w:basedOn w:val="afc"/>
    <w:next w:val="affe"/>
    <w:qFormat/>
    <w:pPr>
      <w:numPr>
        <w:ilvl w:val="5"/>
      </w:numPr>
      <w:outlineLvl w:val="5"/>
    </w:pPr>
  </w:style>
  <w:style w:type="paragraph" w:customStyle="1" w:styleId="afffff3">
    <w:name w:val="附录四级无"/>
    <w:basedOn w:val="afd"/>
    <w:qFormat/>
    <w:pPr>
      <w:tabs>
        <w:tab w:val="clear" w:pos="360"/>
      </w:tabs>
      <w:spacing w:beforeLines="0" w:before="0" w:afterLines="0" w:after="0"/>
    </w:pPr>
    <w:rPr>
      <w:rFonts w:ascii="宋体" w:eastAsia="宋体"/>
      <w:szCs w:val="21"/>
    </w:rPr>
  </w:style>
  <w:style w:type="paragraph" w:customStyle="1" w:styleId="aa">
    <w:name w:val="附录图标号"/>
    <w:basedOn w:val="aff2"/>
    <w:qFormat/>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e"/>
    <w:qFormat/>
    <w:pPr>
      <w:numPr>
        <w:ilvl w:val="1"/>
        <w:numId w:val="13"/>
      </w:numPr>
      <w:tabs>
        <w:tab w:val="left"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e"/>
    <w:qFormat/>
    <w:pPr>
      <w:numPr>
        <w:ilvl w:val="6"/>
      </w:numPr>
      <w:outlineLvl w:val="6"/>
    </w:pPr>
  </w:style>
  <w:style w:type="paragraph" w:customStyle="1" w:styleId="afffff4">
    <w:name w:val="附录五级无"/>
    <w:basedOn w:val="afe"/>
    <w:qFormat/>
    <w:pPr>
      <w:tabs>
        <w:tab w:val="clear" w:pos="360"/>
      </w:tabs>
      <w:spacing w:beforeLines="0" w:before="0" w:afterLines="0" w:after="0"/>
    </w:pPr>
    <w:rPr>
      <w:rFonts w:ascii="宋体" w:eastAsia="宋体"/>
      <w:szCs w:val="21"/>
    </w:rPr>
  </w:style>
  <w:style w:type="paragraph" w:customStyle="1" w:styleId="af9">
    <w:name w:val="附录章标题"/>
    <w:next w:val="affe"/>
    <w:qFormat/>
    <w:pPr>
      <w:numPr>
        <w:ilvl w:val="1"/>
        <w:numId w:val="10"/>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e"/>
    <w:qFormat/>
    <w:pPr>
      <w:numPr>
        <w:ilvl w:val="2"/>
      </w:numPr>
      <w:autoSpaceDN w:val="0"/>
      <w:spacing w:beforeLines="50" w:before="50" w:afterLines="50" w:after="50"/>
      <w:outlineLvl w:val="2"/>
    </w:pPr>
  </w:style>
  <w:style w:type="paragraph" w:customStyle="1" w:styleId="afffff5">
    <w:name w:val="附录一级无"/>
    <w:basedOn w:val="afa"/>
    <w:qFormat/>
    <w:pPr>
      <w:tabs>
        <w:tab w:val="clear" w:pos="360"/>
      </w:tabs>
      <w:spacing w:beforeLines="0" w:before="0" w:afterLines="0" w:after="0"/>
    </w:pPr>
    <w:rPr>
      <w:rFonts w:ascii="宋体" w:eastAsia="宋体"/>
      <w:szCs w:val="21"/>
    </w:rPr>
  </w:style>
  <w:style w:type="paragraph" w:customStyle="1" w:styleId="aff">
    <w:name w:val="附录字母编号列项（一级）"/>
    <w:qFormat/>
    <w:pPr>
      <w:numPr>
        <w:numId w:val="12"/>
      </w:numPr>
    </w:pPr>
    <w:rPr>
      <w:rFonts w:ascii="宋体"/>
      <w:sz w:val="21"/>
    </w:rPr>
  </w:style>
  <w:style w:type="paragraph" w:customStyle="1" w:styleId="afffff6">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qFormat/>
    <w:pPr>
      <w:ind w:leftChars="400" w:left="600" w:hangingChars="200" w:hanging="200"/>
    </w:pPr>
    <w:rPr>
      <w:rFonts w:ascii="宋体"/>
      <w:sz w:val="21"/>
    </w:rPr>
  </w:style>
  <w:style w:type="paragraph" w:customStyle="1" w:styleId="afffff8">
    <w:name w:val="目次、索引正文"/>
    <w:qFormat/>
    <w:pPr>
      <w:spacing w:line="320" w:lineRule="exact"/>
      <w:jc w:val="both"/>
    </w:pPr>
    <w:rPr>
      <w:rFonts w:ascii="宋体"/>
      <w:sz w:val="21"/>
    </w:rPr>
  </w:style>
  <w:style w:type="paragraph" w:customStyle="1" w:styleId="afffff9">
    <w:name w:val="其他标准标志"/>
    <w:basedOn w:val="afffd"/>
    <w:qFormat/>
    <w:pPr>
      <w:framePr w:w="6101" w:wrap="around" w:vAnchor="page" w:hAnchor="page" w:x="4673" w:y="942"/>
    </w:pPr>
    <w:rPr>
      <w:w w:val="130"/>
    </w:rPr>
  </w:style>
  <w:style w:type="paragraph" w:customStyle="1" w:styleId="afffffa">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pPr>
      <w:framePr w:wrap="around" w:y="15310"/>
      <w:spacing w:line="0" w:lineRule="atLeast"/>
    </w:pPr>
    <w:rPr>
      <w:rFonts w:ascii="黑体" w:eastAsia="黑体"/>
      <w:b w:val="0"/>
    </w:rPr>
  </w:style>
  <w:style w:type="paragraph" w:customStyle="1" w:styleId="afffffc">
    <w:name w:val="前言、引言标题"/>
    <w:next w:val="affe"/>
    <w:qFormat/>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7"/>
    <w:qFormat/>
    <w:pPr>
      <w:spacing w:beforeLines="0" w:before="0" w:afterLines="0" w:after="0"/>
    </w:pPr>
    <w:rPr>
      <w:rFonts w:ascii="宋体" w:eastAsia="宋体"/>
    </w:rPr>
  </w:style>
  <w:style w:type="paragraph" w:customStyle="1" w:styleId="afffffe">
    <w:name w:val="实施日期"/>
    <w:basedOn w:val="affff6"/>
    <w:qFormat/>
    <w:pPr>
      <w:framePr w:wrap="around" w:vAnchor="page" w:hAnchor="text"/>
      <w:jc w:val="right"/>
    </w:pPr>
  </w:style>
  <w:style w:type="paragraph" w:customStyle="1" w:styleId="affffff">
    <w:name w:val="示例后文字"/>
    <w:basedOn w:val="affe"/>
    <w:next w:val="affe"/>
    <w:qFormat/>
    <w:pPr>
      <w:ind w:firstLine="360"/>
    </w:pPr>
    <w:rPr>
      <w:sz w:val="18"/>
    </w:rPr>
  </w:style>
  <w:style w:type="paragraph" w:customStyle="1" w:styleId="a0">
    <w:name w:val="首示例"/>
    <w:next w:val="affe"/>
    <w:link w:val="Char4"/>
    <w:qFormat/>
    <w:pPr>
      <w:numPr>
        <w:numId w:val="14"/>
      </w:numPr>
      <w:tabs>
        <w:tab w:val="left" w:pos="360"/>
      </w:tabs>
      <w:ind w:firstLine="0"/>
    </w:pPr>
    <w:rPr>
      <w:rFonts w:ascii="宋体" w:hAnsi="宋体"/>
      <w:kern w:val="2"/>
      <w:sz w:val="18"/>
      <w:szCs w:val="18"/>
    </w:rPr>
  </w:style>
  <w:style w:type="character" w:customStyle="1" w:styleId="Char4">
    <w:name w:val="首示例 Char"/>
    <w:link w:val="a0"/>
    <w:qFormat/>
    <w:rPr>
      <w:rFonts w:ascii="宋体" w:hAnsi="宋体"/>
      <w:kern w:val="2"/>
      <w:sz w:val="18"/>
      <w:szCs w:val="18"/>
      <w:lang w:val="en-US" w:eastAsia="zh-CN" w:bidi="ar-SA"/>
    </w:rPr>
  </w:style>
  <w:style w:type="paragraph" w:customStyle="1" w:styleId="affffff0">
    <w:name w:val="四级无"/>
    <w:basedOn w:val="a8"/>
    <w:qFormat/>
    <w:pPr>
      <w:spacing w:beforeLines="0" w:before="0" w:afterLines="0" w:after="0"/>
    </w:pPr>
    <w:rPr>
      <w:rFonts w:ascii="宋体" w:eastAsia="宋体"/>
    </w:rPr>
  </w:style>
  <w:style w:type="paragraph" w:customStyle="1" w:styleId="affffff1">
    <w:name w:val="条文脚注"/>
    <w:basedOn w:val="af"/>
    <w:qFormat/>
    <w:pPr>
      <w:numPr>
        <w:numId w:val="0"/>
      </w:numPr>
      <w:jc w:val="both"/>
    </w:pPr>
  </w:style>
  <w:style w:type="paragraph" w:customStyle="1" w:styleId="affffff2">
    <w:name w:val="图标脚注说明"/>
    <w:basedOn w:val="affe"/>
    <w:qFormat/>
    <w:pPr>
      <w:ind w:left="840" w:firstLineChars="0" w:hanging="420"/>
    </w:pPr>
    <w:rPr>
      <w:sz w:val="18"/>
      <w:szCs w:val="18"/>
    </w:rPr>
  </w:style>
  <w:style w:type="paragraph" w:customStyle="1" w:styleId="a2">
    <w:name w:val="图表脚注说明"/>
    <w:basedOn w:val="aff2"/>
    <w:qFormat/>
    <w:pPr>
      <w:numPr>
        <w:numId w:val="15"/>
      </w:numPr>
    </w:pPr>
    <w:rPr>
      <w:rFonts w:ascii="宋体"/>
      <w:sz w:val="18"/>
      <w:szCs w:val="18"/>
    </w:rPr>
  </w:style>
  <w:style w:type="paragraph" w:customStyle="1" w:styleId="affffff3">
    <w:name w:val="图的脚注"/>
    <w:next w:val="affe"/>
    <w:qFormat/>
    <w:pPr>
      <w:widowControl w:val="0"/>
      <w:ind w:leftChars="200" w:left="840" w:hangingChars="200" w:hanging="420"/>
      <w:jc w:val="both"/>
    </w:pPr>
    <w:rPr>
      <w:rFonts w:ascii="宋体"/>
      <w:sz w:val="18"/>
    </w:rPr>
  </w:style>
  <w:style w:type="paragraph" w:customStyle="1" w:styleId="affffff4">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9"/>
    <w:qFormat/>
    <w:pPr>
      <w:spacing w:beforeLines="0" w:before="0" w:afterLines="0" w:after="0"/>
    </w:pPr>
    <w:rPr>
      <w:rFonts w:ascii="宋体" w:eastAsia="宋体"/>
    </w:rPr>
  </w:style>
  <w:style w:type="paragraph" w:customStyle="1" w:styleId="affffff6">
    <w:name w:val="一级无"/>
    <w:basedOn w:val="a5"/>
    <w:qFormat/>
    <w:pPr>
      <w:spacing w:beforeLines="0" w:before="0" w:afterLines="0" w:after="0"/>
    </w:pPr>
    <w:rPr>
      <w:rFonts w:ascii="宋体" w:eastAsia="宋体"/>
    </w:rPr>
  </w:style>
  <w:style w:type="paragraph" w:customStyle="1" w:styleId="af7">
    <w:name w:val="正文表标题"/>
    <w:next w:val="affe"/>
    <w:qFormat/>
    <w:pPr>
      <w:numPr>
        <w:numId w:val="16"/>
      </w:numPr>
      <w:tabs>
        <w:tab w:val="left" w:pos="360"/>
      </w:tabs>
      <w:spacing w:beforeLines="50" w:before="156" w:afterLines="50" w:after="156"/>
      <w:jc w:val="center"/>
    </w:pPr>
    <w:rPr>
      <w:rFonts w:ascii="黑体" w:eastAsia="黑体"/>
      <w:sz w:val="21"/>
    </w:rPr>
  </w:style>
  <w:style w:type="paragraph" w:customStyle="1" w:styleId="affffff7">
    <w:name w:val="正文公式编号制表符"/>
    <w:basedOn w:val="affe"/>
    <w:next w:val="affe"/>
    <w:qFormat/>
    <w:pPr>
      <w:ind w:firstLineChars="0" w:firstLine="0"/>
    </w:pPr>
  </w:style>
  <w:style w:type="paragraph" w:customStyle="1" w:styleId="af4">
    <w:name w:val="正文图标题"/>
    <w:next w:val="affe"/>
    <w:qFormat/>
    <w:pPr>
      <w:numPr>
        <w:numId w:val="17"/>
      </w:numPr>
      <w:tabs>
        <w:tab w:val="left" w:pos="360"/>
      </w:tabs>
      <w:spacing w:beforeLines="50" w:before="156" w:afterLines="50" w:after="156"/>
      <w:jc w:val="center"/>
    </w:pPr>
    <w:rPr>
      <w:rFonts w:ascii="黑体" w:eastAsia="黑体"/>
      <w:sz w:val="21"/>
    </w:rPr>
  </w:style>
  <w:style w:type="paragraph" w:customStyle="1" w:styleId="affffff8">
    <w:name w:val="终结线"/>
    <w:basedOn w:val="aff2"/>
    <w:qFormat/>
    <w:pPr>
      <w:framePr w:hSpace="181" w:vSpace="181" w:wrap="around" w:vAnchor="text" w:hAnchor="margin" w:xAlign="center" w:y="285"/>
    </w:pPr>
  </w:style>
  <w:style w:type="paragraph" w:customStyle="1" w:styleId="affffff9">
    <w:name w:val="其他发布日期"/>
    <w:basedOn w:val="affff6"/>
    <w:qFormat/>
    <w:pPr>
      <w:framePr w:wrap="around" w:vAnchor="page" w:hAnchor="text" w:x="1419"/>
    </w:pPr>
  </w:style>
  <w:style w:type="paragraph" w:customStyle="1" w:styleId="affffffa">
    <w:name w:val="其他实施日期"/>
    <w:basedOn w:val="afffffe"/>
    <w:qFormat/>
    <w:pPr>
      <w:framePr w:wrap="around"/>
    </w:pPr>
  </w:style>
  <w:style w:type="paragraph" w:customStyle="1" w:styleId="22">
    <w:name w:val="封面标准名称2"/>
    <w:basedOn w:val="affff8"/>
    <w:qFormat/>
    <w:pPr>
      <w:framePr w:wrap="around" w:y="4469"/>
      <w:spacing w:beforeLines="630" w:before="630"/>
    </w:pPr>
  </w:style>
  <w:style w:type="paragraph" w:customStyle="1" w:styleId="23">
    <w:name w:val="封面标准英文名称2"/>
    <w:basedOn w:val="affff9"/>
    <w:qFormat/>
    <w:pPr>
      <w:framePr w:wrap="around" w:y="4469"/>
    </w:pPr>
  </w:style>
  <w:style w:type="paragraph" w:customStyle="1" w:styleId="24">
    <w:name w:val="封面一致性程度标识2"/>
    <w:basedOn w:val="affffa"/>
    <w:qFormat/>
    <w:pPr>
      <w:framePr w:wrap="around" w:y="4469"/>
    </w:pPr>
  </w:style>
  <w:style w:type="paragraph" w:customStyle="1" w:styleId="25">
    <w:name w:val="封面标准文稿类别2"/>
    <w:basedOn w:val="affffb"/>
    <w:qFormat/>
    <w:pPr>
      <w:framePr w:wrap="around" w:y="4469"/>
    </w:pPr>
  </w:style>
  <w:style w:type="paragraph" w:customStyle="1" w:styleId="26">
    <w:name w:val="封面标准文稿编辑信息2"/>
    <w:basedOn w:val="affffc"/>
    <w:qFormat/>
    <w:pPr>
      <w:framePr w:wrap="around" w:y="4469"/>
    </w:pPr>
  </w:style>
  <w:style w:type="character" w:customStyle="1" w:styleId="Char0">
    <w:name w:val="批注框文本 Char"/>
    <w:basedOn w:val="aff3"/>
    <w:link w:val="affa"/>
    <w:qFormat/>
    <w:rPr>
      <w:kern w:val="2"/>
      <w:sz w:val="18"/>
      <w:szCs w:val="18"/>
    </w:rPr>
  </w:style>
  <w:style w:type="character" w:customStyle="1" w:styleId="Char">
    <w:name w:val="批注文字 Char"/>
    <w:basedOn w:val="aff3"/>
    <w:link w:val="aff8"/>
    <w:rPr>
      <w:kern w:val="2"/>
      <w:sz w:val="21"/>
      <w:szCs w:val="24"/>
    </w:rPr>
  </w:style>
  <w:style w:type="character" w:customStyle="1" w:styleId="Char2">
    <w:name w:val="批注主题 Char"/>
    <w:basedOn w:val="Char"/>
    <w:link w:val="aff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esktop\&#26426;&#20851;&#20107;&#211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EFD19-F6D4-4A28-8BDC-E3BB1530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机关事务.dot</Template>
  <TotalTime>4</TotalTime>
  <Pages>9</Pages>
  <Words>458</Words>
  <Characters>2616</Characters>
  <Application>Microsoft Office Word</Application>
  <DocSecurity>0</DocSecurity>
  <Lines>21</Lines>
  <Paragraphs>6</Paragraphs>
  <ScaleCrop>false</ScaleCrop>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2021-08-26T00:47:00Z</dcterms:created>
  <dcterms:modified xsi:type="dcterms:W3CDTF">2021-09-06T03:16:00Z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5E435EB522734DF5ACE8E1E75A3C1C98</vt:lpwstr>
  </property>
</Properties>
</file>