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1000" w:lineRule="exact"/>
        <w:jc w:val="center"/>
        <w:rPr>
          <w:rFonts w:ascii="华文中宋" w:hAnsi="华文中宋" w:eastAsia="华文中宋" w:cs="Times New Roman"/>
          <w:b/>
          <w:bCs/>
          <w:color w:val="auto"/>
          <w:spacing w:val="38"/>
          <w:sz w:val="52"/>
          <w:szCs w:val="52"/>
        </w:rPr>
      </w:pPr>
      <w:r>
        <w:rPr>
          <w:rFonts w:hint="eastAsia" w:ascii="华文中宋" w:hAnsi="华文中宋" w:eastAsia="华文中宋" w:cs="华文中宋"/>
          <w:b/>
          <w:bCs/>
          <w:color w:val="auto"/>
          <w:spacing w:val="38"/>
          <w:sz w:val="52"/>
          <w:szCs w:val="52"/>
          <w:lang w:eastAsia="zh-CN"/>
        </w:rPr>
        <w:t>温州</w:t>
      </w:r>
      <w:r>
        <w:rPr>
          <w:rFonts w:hint="eastAsia" w:ascii="华文中宋" w:hAnsi="华文中宋" w:eastAsia="华文中宋" w:cs="华文中宋"/>
          <w:b/>
          <w:bCs/>
          <w:color w:val="auto"/>
          <w:spacing w:val="38"/>
          <w:sz w:val="52"/>
          <w:szCs w:val="52"/>
        </w:rPr>
        <w:t>市市场监督管理局</w:t>
      </w:r>
    </w:p>
    <w:p>
      <w:pPr>
        <w:spacing w:line="1000" w:lineRule="exact"/>
        <w:jc w:val="center"/>
        <w:rPr>
          <w:rFonts w:ascii="黑体" w:hAnsi="宋体" w:eastAsia="黑体" w:cs="Times New Roman"/>
          <w:color w:val="auto"/>
          <w:spacing w:val="-20"/>
          <w:sz w:val="72"/>
          <w:szCs w:val="72"/>
        </w:rPr>
      </w:pPr>
      <w:r>
        <w:rPr>
          <w:rFonts w:hint="eastAsia" w:ascii="华文中宋" w:hAnsi="华文中宋" w:eastAsia="华文中宋" w:cs="华文中宋"/>
          <w:b/>
          <w:bCs/>
          <w:color w:val="auto"/>
          <w:spacing w:val="-20"/>
          <w:sz w:val="72"/>
          <w:szCs w:val="72"/>
        </w:rPr>
        <w:t>行</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政</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处</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罚</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决</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定</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书</w:t>
      </w:r>
    </w:p>
    <w:p>
      <w:pPr>
        <w:spacing w:line="1000" w:lineRule="exact"/>
        <w:jc w:val="center"/>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lang w:eastAsia="zh-CN"/>
        </w:rPr>
        <w:t>温</w:t>
      </w:r>
      <w:r>
        <w:rPr>
          <w:rFonts w:hint="eastAsia" w:ascii="仿宋_GB2312" w:hAnsi="Times New Roman" w:eastAsia="仿宋_GB2312" w:cs="仿宋_GB2312"/>
          <w:color w:val="auto"/>
          <w:sz w:val="32"/>
          <w:szCs w:val="32"/>
        </w:rPr>
        <w:t>市监</w:t>
      </w:r>
      <w:r>
        <w:rPr>
          <w:rFonts w:hint="eastAsia" w:ascii="仿宋_GB2312" w:hAnsi="Times New Roman" w:eastAsia="仿宋_GB2312" w:cs="仿宋_GB2312"/>
          <w:color w:val="auto"/>
          <w:sz w:val="32"/>
          <w:szCs w:val="32"/>
          <w:lang w:eastAsia="zh-CN"/>
        </w:rPr>
        <w:t>企吊</w:t>
      </w:r>
      <w:r>
        <w:rPr>
          <w:rFonts w:hint="eastAsia" w:ascii="仿宋_GB2312" w:hAnsi="Times New Roman" w:eastAsia="仿宋_GB2312" w:cs="仿宋_GB2312"/>
          <w:color w:val="auto"/>
          <w:sz w:val="32"/>
          <w:szCs w:val="32"/>
        </w:rPr>
        <w:t>处字〔</w:t>
      </w:r>
      <w:r>
        <w:rPr>
          <w:rFonts w:hint="eastAsia" w:ascii="仿宋_GB2312" w:hAnsi="Times New Roman" w:eastAsia="仿宋_GB2312" w:cs="仿宋_GB2312"/>
          <w:color w:val="auto"/>
          <w:sz w:val="32"/>
          <w:szCs w:val="32"/>
          <w:lang w:val="en-US" w:eastAsia="zh-CN"/>
        </w:rPr>
        <w:t>2024</w:t>
      </w:r>
      <w:r>
        <w:rPr>
          <w:rFonts w:hint="eastAsia" w:ascii="仿宋_GB2312" w:hAnsi="Times New Roman" w:eastAsia="仿宋_GB2312" w:cs="仿宋_GB2312"/>
          <w:color w:val="auto"/>
          <w:sz w:val="32"/>
          <w:szCs w:val="32"/>
        </w:rPr>
        <w:t>〕</w:t>
      </w:r>
      <w:r>
        <w:rPr>
          <w:rFonts w:hint="eastAsia" w:ascii="仿宋_GB2312" w:hAnsi="Times New Roman" w:eastAsia="仿宋_GB2312" w:cs="仿宋_GB2312"/>
          <w:color w:val="auto"/>
          <w:sz w:val="32"/>
          <w:szCs w:val="32"/>
          <w:lang w:val="en-US" w:eastAsia="zh-CN"/>
        </w:rPr>
        <w:t>1</w:t>
      </w:r>
      <w:r>
        <w:rPr>
          <w:rFonts w:hint="eastAsia" w:ascii="仿宋_GB2312" w:hAnsi="Times New Roman" w:eastAsia="仿宋_GB2312" w:cs="仿宋_GB2312"/>
          <w:color w:val="auto"/>
          <w:sz w:val="32"/>
          <w:szCs w:val="32"/>
        </w:rPr>
        <w:t>号</w:t>
      </w:r>
    </w:p>
    <w:p>
      <w:pPr>
        <w:spacing w:line="580" w:lineRule="exact"/>
        <w:ind w:left="447" w:hanging="447" w:hangingChars="213"/>
        <w:rPr>
          <w:rFonts w:ascii="仿宋_GB2312" w:hAnsi="Times New Roman" w:eastAsia="仿宋_GB2312" w:cs="Times New Roman"/>
          <w:color w:val="auto"/>
          <w:sz w:val="28"/>
          <w:szCs w:val="28"/>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5600700" cy="0"/>
                <wp:effectExtent l="0" t="28575" r="0" b="28575"/>
                <wp:wrapNone/>
                <wp:docPr id="2" name="直线 6"/>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6pt;height:0pt;width:441pt;z-index:251659264;mso-width-relative:page;mso-height-relative:page;" filled="f" stroked="t" coordsize="21600,21600" o:gfxdata="UEsFBgAAAAAAAAAAAAAAAAAAAAAAAFBLAwQKAAAAAACHTuJAAAAAAAAAAAAAAAAABAAAAGRycy9Q&#10;SwMEFAAAAAgAh07iQIJIIb/VAAAABgEAAA8AAABkcnMvZG93bnJldi54bWxNj0FPwzAMhe9I+w+R&#10;J3FBLN2QoCpNp2mCXYpAlF24pY1pqzVOlWTr+Pd44gAn2+9Zz5/z9dkO4oQ+9I4ULBcJCKTGmZ5a&#10;BfuP59sURIiajB4coYJvDLAuZle5zoyb6B1PVWwFh1DItIIuxjGTMjQdWh0WbkRi78t5qyOPvpXG&#10;64nD7SBXSXIvre6JL3R6xG2HzaE6WgX96256qcpN+fT2uS9vyNe77d2DUtfzZfIIIuI5/i3DBZ/R&#10;oWCm2h3JBDEo4Eciqyuu7Kbppal/BVnk8j9+8QNQSwMEFAAAAAgAh07iQLPU5kDnAQAA3AMAAA4A&#10;AABkcnMvZTJvRG9jLnhtbK1TS27bMBDdF+gdCO5ryQbiFILlLOKmm6I10PYAY5KSCPAHDm3ZZ+k1&#10;uuqmx8k1OqQcJ003XlQLasgZvpn3Zri6O1rDDiqi9q7l81nNmXLCS+36ln//9vDuPWeYwEkw3qmW&#10;nxTyu/XbN6sxNGrhB2+kioxAHDZjaPmQUmiqCsWgLODMB+XI2floIdE29pWMMBK6NdWirpfV6KMM&#10;0QuFSKebycnPiPEaQN91WqiNF3urXJpQozKQiBIOOiBfl2q7Ton0petQJWZaTkxTWSkJ2bu8VusV&#10;NH2EMGhxLgGuKeEVJwvaUdIL1AYSsH3U/0BZLaJH36WZ8LaaiBRFiMW8fqXN1wGCKlxIagwX0fH/&#10;wYrPh21kWrZ8wZkDSw1//PHz8ddvtszajAEbCrl323jeYdjGTPTYRZv/RIEdi56ni57qmJigw5tl&#10;Xd/WJLV48lXPF0PE9FF5y7LRcqNdpgoNHD5homQU+hSSj41jIyHezm8yHtDgddRwMm2g4tH15TJ6&#10;o+WDNiZfwdjv7k1kB8jNL1/mRMB/heUsG8BhiiuuaSwGBfKDkyydAsni6DXwXINVkjOj6PFkiwCh&#10;SaDNNZGU2jiqIMs6CZmtnZcnasI+RN0PJMW8VJk91PRS73lA81S93Bek50e5/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CSCG/1QAAAAYBAAAPAAAAAAAAAAEAIAAAADgAAABkcnMvZG93bnJldi54&#10;bWxQSwECFAAUAAAACACHTuJAs9TmQOcBAADcAwAADgAAAAAAAAABACAAAAA6AQAAZHJzL2Uyb0Rv&#10;Yy54bWxQSwUGAAAAAAYABgBZAQAAkwUAAAAA&#10;">
                <v:fill on="f" focussize="0,0"/>
                <v:stroke weight="4.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当事人：温州市汶格电子商务有限公司</w:t>
      </w:r>
      <w:r>
        <w:rPr>
          <w:rFonts w:hint="eastAsia" w:ascii="仿宋_GB2312" w:hAnsi="仿宋_GB2312" w:eastAsia="仿宋_GB2312" w:cs="仿宋_GB2312"/>
          <w:color w:val="auto"/>
          <w:sz w:val="30"/>
          <w:szCs w:val="30"/>
          <w:lang w:eastAsia="zh-CN"/>
        </w:rPr>
        <w:t>等</w:t>
      </w:r>
      <w:r>
        <w:rPr>
          <w:rFonts w:hint="eastAsia" w:ascii="仿宋_GB2312" w:hAnsi="仿宋_GB2312" w:eastAsia="仿宋_GB2312" w:cs="仿宋_GB2312"/>
          <w:color w:val="auto"/>
          <w:sz w:val="30"/>
          <w:szCs w:val="30"/>
          <w:lang w:val="en-US" w:eastAsia="zh-CN"/>
        </w:rPr>
        <w:t>104家企业（</w:t>
      </w:r>
      <w:r>
        <w:rPr>
          <w:rFonts w:hint="eastAsia" w:ascii="仿宋_GB2312" w:hAnsi="仿宋_GB2312" w:eastAsia="仿宋_GB2312" w:cs="仿宋_GB2312"/>
          <w:color w:val="auto"/>
          <w:sz w:val="30"/>
          <w:szCs w:val="30"/>
        </w:rPr>
        <w:t>统一社会信用代码</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住所</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成立日期</w:t>
      </w:r>
      <w:r>
        <w:rPr>
          <w:rFonts w:hint="eastAsia" w:ascii="仿宋_GB2312" w:hAnsi="仿宋_GB2312" w:eastAsia="仿宋_GB2312" w:cs="仿宋_GB2312"/>
          <w:color w:val="auto"/>
          <w:sz w:val="30"/>
          <w:szCs w:val="30"/>
          <w:lang w:eastAsia="zh-CN"/>
        </w:rPr>
        <w:t>等信息见附件</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rPr>
        <w:t>日开始，本局执法人员对连续两年未年报企业开展专项清理检查。通过浙江省企业信用综合</w:t>
      </w:r>
      <w:r>
        <w:rPr>
          <w:rFonts w:hint="eastAsia" w:ascii="仿宋_GB2312" w:hAnsi="仿宋_GB2312" w:eastAsia="仿宋_GB2312" w:cs="仿宋_GB2312"/>
          <w:color w:val="auto"/>
          <w:sz w:val="30"/>
          <w:szCs w:val="30"/>
          <w:lang w:eastAsia="zh-CN"/>
        </w:rPr>
        <w:t>监管</w:t>
      </w:r>
      <w:r>
        <w:rPr>
          <w:rFonts w:hint="eastAsia" w:ascii="仿宋_GB2312" w:hAnsi="仿宋_GB2312" w:eastAsia="仿宋_GB2312" w:cs="仿宋_GB2312"/>
          <w:color w:val="auto"/>
          <w:sz w:val="30"/>
          <w:szCs w:val="30"/>
        </w:rPr>
        <w:t>系统导出</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年度、</w:t>
      </w:r>
      <w:r>
        <w:rPr>
          <w:rFonts w:hint="eastAsia" w:ascii="仿宋_GB2312" w:hAnsi="仿宋_GB2312" w:eastAsia="仿宋_GB2312" w:cs="仿宋_GB2312"/>
          <w:color w:val="auto"/>
          <w:sz w:val="30"/>
          <w:szCs w:val="30"/>
          <w:lang w:val="en-US" w:eastAsia="zh-CN"/>
        </w:rPr>
        <w:t>2022</w:t>
      </w:r>
      <w:r>
        <w:rPr>
          <w:rFonts w:hint="eastAsia" w:ascii="仿宋_GB2312" w:hAnsi="仿宋_GB2312" w:eastAsia="仿宋_GB2312" w:cs="仿宋_GB2312"/>
          <w:color w:val="auto"/>
          <w:sz w:val="30"/>
          <w:szCs w:val="30"/>
        </w:rPr>
        <w:t>年度连续两年未年报企业名单，</w:t>
      </w:r>
      <w:r>
        <w:rPr>
          <w:rFonts w:hint="eastAsia" w:ascii="仿宋_GB2312" w:hAnsi="仿宋_GB2312" w:eastAsia="仿宋_GB2312" w:cs="仿宋_GB2312"/>
          <w:color w:val="auto"/>
          <w:sz w:val="30"/>
          <w:szCs w:val="30"/>
          <w:lang w:eastAsia="zh-CN"/>
        </w:rPr>
        <w:t>并</w:t>
      </w:r>
      <w:r>
        <w:rPr>
          <w:rFonts w:hint="eastAsia" w:ascii="仿宋_GB2312" w:hAnsi="仿宋_GB2312" w:eastAsia="仿宋_GB2312" w:cs="仿宋_GB2312"/>
          <w:color w:val="auto"/>
          <w:sz w:val="30"/>
          <w:szCs w:val="30"/>
        </w:rPr>
        <w:t>经税务部门协查比对，发现当事人连续两年未年报且连续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年以上未向税务机关申报纳税</w:t>
      </w:r>
      <w:r>
        <w:rPr>
          <w:rFonts w:hint="eastAsia" w:ascii="仿宋_GB2312" w:hAnsi="仿宋_GB2312" w:eastAsia="仿宋_GB2312" w:cs="仿宋_GB2312"/>
          <w:color w:val="auto"/>
          <w:sz w:val="30"/>
          <w:szCs w:val="30"/>
          <w:lang w:eastAsia="zh-CN"/>
        </w:rPr>
        <w:t>。当事人的行为涉嫌违反《公司法》第二百一十一条第一款所列的“公司成立后无正当理由超过六个月未开业的，或者开业后自行停业连续六个月以上的”的规定，</w:t>
      </w:r>
      <w:r>
        <w:rPr>
          <w:rFonts w:hint="eastAsia" w:ascii="仿宋_GB2312" w:hAnsi="仿宋_GB2312" w:eastAsia="仿宋_GB2312" w:cs="仿宋_GB2312"/>
          <w:color w:val="auto"/>
          <w:sz w:val="30"/>
          <w:szCs w:val="30"/>
          <w:lang w:val="en-US" w:eastAsia="zh-CN"/>
        </w:rPr>
        <w:t>2024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01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日，本局依法予以立案调查。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经查明，当事人经本局依法登记</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成立时间均在</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月31日之前</w:t>
      </w:r>
      <w:r>
        <w:rPr>
          <w:rFonts w:hint="eastAsia" w:ascii="仿宋_GB2312" w:hAnsi="仿宋_GB2312" w:eastAsia="仿宋_GB2312" w:cs="仿宋_GB2312"/>
          <w:color w:val="auto"/>
          <w:sz w:val="30"/>
          <w:szCs w:val="30"/>
          <w:lang w:eastAsia="zh-CN"/>
        </w:rPr>
        <w:t>，应当依法报送</w:t>
      </w:r>
      <w:r>
        <w:rPr>
          <w:rFonts w:hint="eastAsia" w:ascii="仿宋_GB2312" w:hAnsi="仿宋_GB2312" w:eastAsia="仿宋_GB2312" w:cs="仿宋_GB2312"/>
          <w:color w:val="auto"/>
          <w:sz w:val="30"/>
          <w:szCs w:val="30"/>
          <w:lang w:val="en-US" w:eastAsia="zh-CN"/>
        </w:rPr>
        <w:t>2021、2022年度市场监管年报</w:t>
      </w: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1日本局发布《温州市市场监督管理局清理长期停业未经营企业公告》，至调查终结，当事人仍未在国家企业信用信息公示系统报送并公示其20</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2022</w:t>
      </w:r>
      <w:r>
        <w:rPr>
          <w:rFonts w:hint="eastAsia" w:ascii="仿宋_GB2312" w:hAnsi="仿宋_GB2312" w:eastAsia="仿宋_GB2312" w:cs="仿宋_GB2312"/>
          <w:color w:val="auto"/>
          <w:sz w:val="30"/>
          <w:szCs w:val="30"/>
        </w:rPr>
        <w:t>年度报告，亦未申请移出经营异常名录，其间，也未办理住所变更或注销登记，本局也未收到当事人停业未经营的正当理由。经本局依法对当事人登记的住所（经营场所）进行实地检查，在其登记的住所（经营场所）无法找到当事人，按照登记的电话无法联系，或确认其连续六个月以上未经营。此外，当事人</w:t>
      </w:r>
      <w:r>
        <w:rPr>
          <w:rFonts w:hint="eastAsia" w:ascii="仿宋_GB2312" w:hAnsi="仿宋_GB2312" w:eastAsia="仿宋_GB2312" w:cs="仿宋_GB2312"/>
          <w:color w:val="auto"/>
          <w:sz w:val="30"/>
          <w:szCs w:val="30"/>
          <w:lang w:eastAsia="zh-CN"/>
        </w:rPr>
        <w:t>税务状态异常或</w:t>
      </w:r>
      <w:r>
        <w:rPr>
          <w:rFonts w:hint="eastAsia" w:ascii="仿宋_GB2312" w:hAnsi="仿宋_GB2312" w:eastAsia="仿宋_GB2312" w:cs="仿宋_GB2312"/>
          <w:color w:val="auto"/>
          <w:sz w:val="30"/>
          <w:szCs w:val="30"/>
        </w:rPr>
        <w:t>已连续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以上</w:t>
      </w:r>
      <w:r>
        <w:rPr>
          <w:rFonts w:hint="eastAsia" w:ascii="仿宋_GB2312" w:hAnsi="仿宋_GB2312" w:eastAsia="仿宋_GB2312" w:cs="仿宋_GB2312"/>
          <w:color w:val="auto"/>
          <w:sz w:val="30"/>
          <w:szCs w:val="30"/>
        </w:rPr>
        <w:t>未向税务部门进行纳税申报。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上述事实，主要有以下证据证明：</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1．当事人登记基本情况档案，证明当事人成立日期、登记的住所为本局辖区及未办理住所变更或注销登记的事实。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2．现场笔录、现场拍摄的照片，证明当事人未在其登记的住所（经营场所）开展经营活动，按照登记的电话或空号或错号无法联系，或确认其连续六个月以上未经营的事实。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3．温州市税务局出具的《关于要求协查连续两年未年报企业税务情况的函的复函》，证明当事人</w:t>
      </w:r>
      <w:r>
        <w:rPr>
          <w:rFonts w:hint="eastAsia" w:ascii="仿宋_GB2312" w:hAnsi="仿宋_GB2312" w:eastAsia="仿宋_GB2312" w:cs="仿宋_GB2312"/>
          <w:color w:val="auto"/>
          <w:sz w:val="30"/>
          <w:szCs w:val="30"/>
          <w:lang w:eastAsia="zh-CN"/>
        </w:rPr>
        <w:t>税务状态异常或</w:t>
      </w:r>
      <w:r>
        <w:rPr>
          <w:rFonts w:hint="eastAsia" w:ascii="仿宋_GB2312" w:hAnsi="仿宋_GB2312" w:eastAsia="仿宋_GB2312" w:cs="仿宋_GB2312"/>
          <w:color w:val="auto"/>
          <w:sz w:val="30"/>
          <w:szCs w:val="30"/>
        </w:rPr>
        <w:t>已连续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以上</w:t>
      </w:r>
      <w:r>
        <w:rPr>
          <w:rFonts w:hint="eastAsia" w:ascii="仿宋_GB2312" w:hAnsi="仿宋_GB2312" w:eastAsia="仿宋_GB2312" w:cs="仿宋_GB2312"/>
          <w:color w:val="auto"/>
          <w:sz w:val="30"/>
          <w:szCs w:val="30"/>
        </w:rPr>
        <w:t>未向税务部门进行纳税申报的事实。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4．浙江省企业信用综合监管系统导出《</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2022两个</w:t>
      </w:r>
      <w:r>
        <w:rPr>
          <w:rFonts w:hint="eastAsia" w:ascii="仿宋_GB2312" w:hAnsi="仿宋_GB2312" w:eastAsia="仿宋_GB2312" w:cs="仿宋_GB2312"/>
          <w:color w:val="auto"/>
          <w:sz w:val="30"/>
          <w:szCs w:val="30"/>
        </w:rPr>
        <w:t>年度未年报名单查询情况》（202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27</w:t>
      </w:r>
      <w:r>
        <w:rPr>
          <w:rFonts w:hint="eastAsia" w:ascii="仿宋_GB2312" w:hAnsi="仿宋_GB2312" w:eastAsia="仿宋_GB2312" w:cs="仿宋_GB2312"/>
          <w:color w:val="auto"/>
          <w:sz w:val="30"/>
          <w:szCs w:val="30"/>
        </w:rPr>
        <w:t>日），证明当事人至调查终结仍未报送20</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2022</w:t>
      </w:r>
      <w:r>
        <w:rPr>
          <w:rFonts w:hint="eastAsia" w:ascii="仿宋_GB2312" w:hAnsi="仿宋_GB2312" w:eastAsia="仿宋_GB2312" w:cs="仿宋_GB2312"/>
          <w:color w:val="auto"/>
          <w:sz w:val="30"/>
          <w:szCs w:val="30"/>
        </w:rPr>
        <w:t>年度报告的事实。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5．《温州市市场监督管理局清理长期停业未经营企业公告》，证明本局在立案前已进行催告提示的事实。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因以其它法定方式无法送达，本局于</w:t>
      </w:r>
      <w:r>
        <w:rPr>
          <w:rFonts w:hint="eastAsia" w:ascii="仿宋_GB2312" w:hAnsi="仿宋_GB2312" w:eastAsia="仿宋_GB2312" w:cs="仿宋_GB2312"/>
          <w:color w:val="auto"/>
          <w:sz w:val="30"/>
          <w:szCs w:val="30"/>
          <w:lang w:val="en-US" w:eastAsia="zh-CN"/>
        </w:rPr>
        <w:t>2024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日在</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HYPERLINK "http://www.ruian.gov.cn/col/col1357260/index.html"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市市场监督管理局</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门户网站（网址：http://wzmsa.wenzhou.gov.cn/）及国家企业信用信息公示系统（浙江）（网址：http://zj.gsxt.gov.cn/）发布《</w:t>
      </w:r>
      <w:r>
        <w:rPr>
          <w:rFonts w:hint="eastAsia" w:ascii="仿宋_GB2312" w:hAnsi="仿宋_GB2312" w:eastAsia="仿宋_GB2312" w:cs="仿宋_GB2312"/>
          <w:color w:val="auto"/>
          <w:sz w:val="30"/>
          <w:szCs w:val="30"/>
          <w:lang w:eastAsia="zh-CN"/>
        </w:rPr>
        <w:t>温州市</w:t>
      </w:r>
      <w:bookmarkStart w:id="0" w:name="_GoBack"/>
      <w:bookmarkEnd w:id="0"/>
      <w:r>
        <w:rPr>
          <w:rFonts w:hint="eastAsia" w:ascii="仿宋_GB2312" w:hAnsi="仿宋_GB2312" w:eastAsia="仿宋_GB2312" w:cs="仿宋_GB2312"/>
          <w:color w:val="auto"/>
          <w:sz w:val="30"/>
          <w:szCs w:val="30"/>
        </w:rPr>
        <w:t>市场监督管理局《行政处罚听证告知书》送达公告》，告知当事人本局拟作出行政处罚决定的事实、理由、依据、内容以及当事人依法享有的陈述权、申辩权和要求举行听证的权利。当事人在法定期限内未提出陈述、申辩或要求举行听证。</w:t>
      </w:r>
    </w:p>
    <w:p>
      <w:pPr>
        <w:pStyle w:val="2"/>
        <w:keepNext w:val="0"/>
        <w:keepLines w:val="0"/>
        <w:pageBreakBefore w:val="0"/>
        <w:widowControl w:val="0"/>
        <w:tabs>
          <w:tab w:val="left" w:pos="3872"/>
          <w:tab w:val="left" w:pos="4280"/>
          <w:tab w:val="left" w:pos="5644"/>
        </w:tabs>
        <w:kinsoku/>
        <w:wordWrap/>
        <w:overflowPunct/>
        <w:topLinePunct w:val="0"/>
        <w:autoSpaceDE/>
        <w:autoSpaceDN/>
        <w:bidi w:val="0"/>
        <w:adjustRightInd/>
        <w:snapToGrid/>
        <w:spacing w:line="540" w:lineRule="exact"/>
        <w:ind w:left="120" w:right="118" w:firstLine="600"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当事人连续两年未在国家企业信用信息公示系统报送并公示其年度报告，在案发时没有在登记住所（营业场所）从事经营活动，并且相关人员无法联系或通过电话联系相关人员确认已经超过六个月以上一直停业未经营，这种状态显现出当事人可能已经自行停业或者住所（经营场所）和人员发生变更。结合当事人停业未向税务机关进行纳税申报连续超一年的事实，说明地址和人员发生重大变更的可能性排除，进而证明当事人的经营状态已经处于自行停业的状态，并且时间达六个月以上。</w:t>
      </w:r>
    </w:p>
    <w:p>
      <w:pPr>
        <w:pStyle w:val="2"/>
        <w:keepNext w:val="0"/>
        <w:keepLines w:val="0"/>
        <w:pageBreakBefore w:val="0"/>
        <w:widowControl w:val="0"/>
        <w:tabs>
          <w:tab w:val="left" w:pos="3872"/>
          <w:tab w:val="left" w:pos="4280"/>
          <w:tab w:val="left" w:pos="5644"/>
        </w:tabs>
        <w:kinsoku/>
        <w:wordWrap/>
        <w:overflowPunct/>
        <w:topLinePunct w:val="0"/>
        <w:autoSpaceDE/>
        <w:autoSpaceDN/>
        <w:bidi w:val="0"/>
        <w:adjustRightInd/>
        <w:snapToGrid/>
        <w:spacing w:line="540" w:lineRule="exact"/>
        <w:ind w:left="120" w:right="118"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2"/>
          <w:sz w:val="30"/>
          <w:szCs w:val="30"/>
          <w:lang w:val="en-US" w:eastAsia="zh-CN" w:bidi="ar-SA"/>
        </w:rPr>
        <w:t>当事人的行为构成《中华人民共和国公司法》第二百一十一条第一款“公司登记成立后无正当理由超过六个月未开业的，或者开业后自行停业连续六个月以上的，可以由公司登记机关吊销营业执照”的情形。</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现根据《中华人民共和国公司法》第二百一十一条第一款之规定，决定吊销当事人的营业执照。</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你单位如对本决定不服，可以在收到本决定之日起六十日内向</w:t>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市人民政府申请行政复议；也可以在</w:t>
      </w:r>
      <w:r>
        <w:rPr>
          <w:rFonts w:hint="eastAsia" w:ascii="仿宋_GB2312" w:hAnsi="仿宋_GB2312" w:eastAsia="仿宋_GB2312" w:cs="仿宋_GB2312"/>
          <w:color w:val="auto"/>
          <w:sz w:val="30"/>
          <w:szCs w:val="30"/>
          <w:lang w:eastAsia="zh-CN"/>
        </w:rPr>
        <w:t>六个月</w:t>
      </w:r>
      <w:r>
        <w:rPr>
          <w:rFonts w:hint="eastAsia" w:ascii="仿宋_GB2312" w:hAnsi="仿宋_GB2312" w:eastAsia="仿宋_GB2312" w:cs="仿宋_GB2312"/>
          <w:color w:val="auto"/>
          <w:sz w:val="30"/>
          <w:szCs w:val="30"/>
        </w:rPr>
        <w:t>内直接向</w:t>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w:t>
      </w:r>
      <w:r>
        <w:rPr>
          <w:rFonts w:hint="eastAsia" w:ascii="仿宋_GB2312" w:hAnsi="仿宋_GB2312" w:eastAsia="仿宋_GB2312" w:cs="仿宋_GB2312"/>
          <w:color w:val="auto"/>
          <w:sz w:val="30"/>
          <w:szCs w:val="30"/>
          <w:lang w:eastAsia="zh-CN"/>
        </w:rPr>
        <w:t>鹿城区</w:t>
      </w:r>
      <w:r>
        <w:rPr>
          <w:rFonts w:hint="eastAsia" w:ascii="仿宋_GB2312" w:hAnsi="仿宋_GB2312" w:eastAsia="仿宋_GB2312" w:cs="仿宋_GB2312"/>
          <w:color w:val="auto"/>
          <w:sz w:val="30"/>
          <w:szCs w:val="30"/>
        </w:rPr>
        <w:t>人民法院</w:t>
      </w:r>
      <w:r>
        <w:rPr>
          <w:rFonts w:hint="eastAsia" w:ascii="仿宋_GB2312" w:hAnsi="仿宋_GB2312" w:eastAsia="仿宋_GB2312" w:cs="仿宋_GB2312"/>
          <w:color w:val="auto"/>
          <w:sz w:val="30"/>
          <w:szCs w:val="30"/>
          <w:lang w:eastAsia="zh-CN"/>
        </w:rPr>
        <w:t>或异地交叉管辖的人民法院</w:t>
      </w:r>
      <w:r>
        <w:rPr>
          <w:rFonts w:hint="eastAsia" w:ascii="仿宋_GB2312" w:hAnsi="仿宋_GB2312" w:eastAsia="仿宋_GB2312" w:cs="仿宋_GB2312"/>
          <w:color w:val="auto"/>
          <w:sz w:val="30"/>
          <w:szCs w:val="30"/>
        </w:rPr>
        <w:t>提起行政诉讼。当事人对行政处罚决定不服申请行政复议或者提起行政诉讼的，行政处罚不停止执行。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温州市市场监督管理局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2024年4月25日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附件：105家吊销企业清单</w:t>
      </w:r>
    </w:p>
    <w:tbl>
      <w:tblPr>
        <w:tblStyle w:val="5"/>
        <w:tblW w:w="9400" w:type="dxa"/>
        <w:jc w:val="center"/>
        <w:shd w:val="clear" w:color="auto" w:fill="auto"/>
        <w:tblLayout w:type="fixed"/>
        <w:tblCellMar>
          <w:top w:w="0" w:type="dxa"/>
          <w:left w:w="0" w:type="dxa"/>
          <w:bottom w:w="0" w:type="dxa"/>
          <w:right w:w="0" w:type="dxa"/>
        </w:tblCellMar>
      </w:tblPr>
      <w:tblGrid>
        <w:gridCol w:w="379"/>
        <w:gridCol w:w="1710"/>
        <w:gridCol w:w="2061"/>
        <w:gridCol w:w="1020"/>
        <w:gridCol w:w="1270"/>
        <w:gridCol w:w="2960"/>
      </w:tblGrid>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统一代码/注册号</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企业名称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法定代表人/负责人</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成立时间</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 w:hAnsi="仿宋" w:eastAsia="仿宋" w:cs="仿宋"/>
                <w:b/>
                <w:i w:val="0"/>
                <w:color w:val="000000"/>
                <w:sz w:val="18"/>
                <w:szCs w:val="18"/>
                <w:u w:val="none"/>
                <w:lang w:val="en-US" w:eastAsia="zh-CN"/>
              </w:rPr>
            </w:pPr>
            <w:r>
              <w:rPr>
                <w:rFonts w:hint="eastAsia" w:ascii="仿宋" w:hAnsi="仿宋" w:eastAsia="仿宋" w:cs="仿宋"/>
                <w:b/>
                <w:i w:val="0"/>
                <w:color w:val="000000"/>
                <w:sz w:val="18"/>
                <w:szCs w:val="18"/>
                <w:u w:val="none"/>
                <w:lang w:val="en-US" w:eastAsia="zh-CN"/>
              </w:rPr>
              <w:t>处罚决定书文号</w:t>
            </w:r>
          </w:p>
        </w:tc>
      </w:tr>
      <w:tr>
        <w:tblPrEx>
          <w:shd w:val="clear" w:color="auto" w:fill="auto"/>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91330302MA287UEQX0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温州市汶格电子商务有限公司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罗伟迪</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2017-02-21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default"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91330300MA2JCCQX1E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温州庆合宝科技发展有限公司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HUSSAIN MUHAMMAD SHAHBAZ</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2020-11-26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91330300MA2CNKK5XG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温州三方投资有限公司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练祖斌</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2018-04-03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91330300MA285LD801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浙江土土网络科技有限公司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王麒</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2016-05-06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91330300MA285KCKX9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温州池华投资有限公司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杨时军</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2016-04-28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91330300MA285DBN9D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浙江土土集团有限公司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王麒</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2016-03-09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91330300MA285A4E22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浙江品家品网络科技有限公司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黄东华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2016-01-21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91330300761325037R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富甸生物科技温州有限公司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刘日光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2004-04-22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913303006970239226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温州市荣信金属回收有限公司第九十六经营部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黄云权</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2009-05-21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91330300573960842T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温州泰戈国际贸易有限公司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董青山</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2011-04-27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91330300559674559E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温州市万金建设工程咨询有限公司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苏尚芬</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2010-08-04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91330300336917162L</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浙江江州建材有限公司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谷建辉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2015-03-31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913303003298969575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温州申彤大大资产管理有限公司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冯立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2015-05-08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913303003073945347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浙江招财猫金融信息服务股份有限公司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张士寒</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2014-06-27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9133030014585025XU</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峰华控股集团有限公司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李林国</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2004-09-20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913303000916767697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温州市青草地投资有限公司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蔡龙钟</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2014-01-24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91330300085288233P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温州市五马美食总汇管理有限公司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林成美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2013-12-09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91330300MA2J92G12P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温州峰贺汽车销售服务有限公司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安建锋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2020-07-08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91330300MA2CQNUFXD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上海福晓融资租赁有限公司浙江分公司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陈宥悉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2018-07-26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91330300MA28620M6W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温州曌琞超市股份有限公司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陈爱斯</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2016-09-02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913303007227674060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温州市蓓蕾科教有限公司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吴建敏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2000-09-18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913303001450460340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温州市经鹰房地产开发有限公司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蔡中友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1993-08-19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91330300MA285MXD1B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温州市巨森民间资本管理有限公司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陈宥悉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2016-05-19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91330300MA285HRE8E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温州市中森汇理资产管理有限公司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林莲芬</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2016-04-14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91330300MA285CK56Q</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浪仔控股有限公司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麻长青</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2016-03-02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91330300773128372E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丽水市兄弟快运服务有限公司温州分公司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项雪芬</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2005-04-08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913303007601931407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温州市博大建筑装饰工程有限公司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陈文哲</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2004-04-08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913303003553506163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浙江爱晚基金管理有限公司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丛培育</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2015-08-25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913303003075986251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温州佰卓民间融资信息服务有限公司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余彤</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2014-05-23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〕1-29号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913303001450540349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温州市金庄工贸有限公司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金利平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1995-06-30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91330300087368536H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温州金羡控股股份有限公司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熊江明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2013-12-19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91330300052829611M</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温州佰卓商务信息咨询有限公司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华丹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2012-08-27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91330300MA2J90DH9E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温州火山兔网络科技有限公司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TEMBO KEITH BHEKUMUZI</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2020-07-06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91330300565889185Q</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温州亿光成照明科技有限公司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张林兵</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2010-12-02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91330300558600478E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温州市道和人一城市景观环境艺术设计工程有限公司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林天旺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2010-07-02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91330300343999995A</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温州德诚车管家服务股份有限公司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林建东</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2015-06-01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91330300307525901P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温州源成石油化工有限公司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张连红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2014-05-20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91330300MA287P9T9X</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温州亿丰建筑劳务有限公司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何志云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2017-02-14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913303005528648353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温州金湾沐浴休闲会所有限公司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俞荣笙</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2010-03-25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〕1-39号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91330300MA2CP4LG3C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温州都市资产管理有限公司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诸葛智慧</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2018-04-28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91330300744102253Y</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温州市荣兴餐饮有限公司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黄加胜</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2002-10-16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913303006651907508</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温州市前园老人公寓房地产开发有限公司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金伯华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2007-08-06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91330300558637617A</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温州华宝斋工艺美术有限公司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赵维维</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2010-07-07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91330300MA2J92F83C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温州贤宇汽车销售服务有限公司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柴军贤</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2020-07-08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91330300754945430A</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温州天翔贸易有限公司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陈美珍</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2003-10-22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91330300145060637F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温州温化物业管理有限公司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蔡中友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1997-10-10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91330300145056304M</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温州市蓝天环保技术服务有限公司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陈国建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1996-03-26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91330300779389338W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浙江赛顿奇鞋业有限公司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戴玲芬</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2005-09-13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91330300773137711C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温州市荣信金属回收有限公司第一经营部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凌正川</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2005-03-16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〕1-49号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91330300770714288L</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浙江温农化工有限公司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顾无极</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2005-01-12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91330300744125383W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温州温化能源化工有限公司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贾振华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2002-10-22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91330300MA298M7K0B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温州集卓贸易有限公司鹿城分公司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王笔戎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2017-09-08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91330300669195663R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温州五马美食林鸿景大酒店有限公司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朱少光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2007-11-19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9133030078569913XB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温州嘉博数码通讯产品有限公司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张爱光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2006-03-22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91330300MA2HBUJX97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银鼎教育控股有限公司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罗丹丹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2020-04-02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91330300MA29AA8X1E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浙江泰民科技股份有限公司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张丽明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2017-12-29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913303003501052593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浙江百希可体育文化发展有限公司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谢德晓</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2015-07-16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913303003278936484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温州蘑菇沄信息科技有限公司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娄韶山</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2015-05-21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91330300307499459R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温州舍鼎房地产有限公司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魏修建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2014-05-22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〕1-59号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91330300098648189R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浙江绿森电子商务有限公司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娄韶山</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2014-04-30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91330300063185313J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温州富贤园林建设有限公司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黄碎斌</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2013-03-08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91330300MA2HBG2D9C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温州金柏旺汽车贸易有限公司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丁丽华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2020-03-17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91330300313584094P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温州青拓建设有限公司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张佐义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2014-09-02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91330300MA2HCDLD7E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温州活青汽车销售服务有限公司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高纯</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2020-04-24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91330300MA296TFD2D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斯铂特阀门科技有限公司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翁锻成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2017-06-21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9133030056095411X4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温州中捷环洲金属材料有限公司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阚国强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2010-08-11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913303003299354500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浙江海轮石化贸易有限公司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叶宝华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2015-01-26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91330300307359069J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浙江隆大塑业有限公司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项光松</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2014-06-27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91330300MA285A74XC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温州瓯意加网络科技股份有限公司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吴伟杰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2016-01-21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〕1-69号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91330300745840629X</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温州市飞越光学有限公司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张宏信</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2002-12-24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91330300717686898Q</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浙江中联建设集团有限公司温州分公司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倪耀华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1999-08-19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91330300579315625R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浙江上迪贸易有限公司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张明波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2011-07-14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91330300MA2JCUR743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温州威创汽车销售服务有限公司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刘洋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2020-12-18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91330300MA2JC5LHXF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温州辰桦汽车销售服务有限公司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张三峰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2020-11-17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91330300MA2JBTL94R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温州少伟汽车销售服务有限公司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刘少然</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2020-11-04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91330300MA2JBGMX1J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温州洋登汽车销售服务有限公司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刘洋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2020-10-23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91330300MA2HCM7G7H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温州浩炜汽车销售服务有限公司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李元浩</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2020-05-07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91330300MA2HCC4776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温州鑫峰汽车销售服务有限公司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郭垚</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2020-04-23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91330300MA2HBTNF4Q</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温州莱强汽车销售服务有限公司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王敬强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2020-04-01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〕1-79号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91330300329913032F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温州新联实业股份有限公司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叶国强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2015-01-30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91330300095761063C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温州市宏欧服饰有限公司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孙茂寒</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2014-03-27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91330300MA2JCY4M1N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温州辰然汽车销售服务有限公司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王云龙</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2020-12-22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91330300MA2J8N3E8N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温州弘靖汽车销售服务有限公司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廖志红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2020-06-23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91330300MA2HBD3X01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温州航鑫汽车销售服务有限公司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陈尚云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2020-03-12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91330300MA2AQDHR6H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温州瓯瑞建筑劳务有限公司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洪金平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2018-12-28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91330300MA28523L1M</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浙江古莱柯电子商务有限公司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李智勇</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2015-10-26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91330300350102664M</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温州市跨界文化投资股份有限公司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陈振乐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2015-07-15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91330300MA2L16QJ2T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温州恒月汽车销售服务有限公司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崔恒斌</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2020-12-31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91330300MA2L14XX6G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温州龙伟汽车销售服务有限公司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梁龙</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2020-12-30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〕1-89号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91330300MA2HB9537A</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温州泓岱汽车销售服务有限公司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王鑫</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2020-03-06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91330300313515857B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温州市新春不锈钢五金股份有限公司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陈新春</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2014-08-01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91330300MA2CN64J4D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温州露旺鞋业有限公司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ADIL KHAN</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2018-03-14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91330300751170334W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浙江丹妮夫眼镜有限公司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吴玉妹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2003-06-16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91330300MA2CTQAG5H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温州启兴广告有限公司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林启兴</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2018-11-15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91330300MA285W694G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浙江茗典农业科技有限公司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郑朝轩</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2016-07-13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91330300727183522D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浙江金鑫农业科技开发有限公司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林宝寿</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2001-02-22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91330300698250131K</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温州森鑫蜂窝纸业有限公司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刘建国</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2009-11-18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91330300MA2HBP0JXN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温州巴班森纳餐饮服务有限公司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WALDACK ，JOHN RICHARD O</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2020-03-26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91330300MA296C9D8Q</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熙鲜汁餐饮管理股份有限公司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黄旭林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2017-06-07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〕1-99号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91330300MA2868MG31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浙江惠仁联创能源股份有限公司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叶旭铭</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2016-11-18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〕1-100号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91330300MA2HBGP92R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温州邦诺医疗股份有限公司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杨中原</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2020-03-18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〕1-101号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91330300MA2CNPAL00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浙江瑞闽川控股股份有限公司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2018-04-11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〕1-102号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91330300087396051G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温州市深南投资股份有限公司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陈可树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2013-12-25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〕1-10</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default" w:ascii="仿宋" w:hAnsi="仿宋" w:eastAsia="仿宋" w:cs="仿宋"/>
                <w:i w:val="0"/>
                <w:color w:val="000000"/>
                <w:kern w:val="0"/>
                <w:sz w:val="18"/>
                <w:szCs w:val="18"/>
                <w:u w:val="none"/>
                <w:lang w:val="en-US" w:eastAsia="zh-CN" w:bidi="ar"/>
              </w:rPr>
              <w:t>91330300MA2HCD9JX9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温州贝壳湾潜水俱乐部股份有限公司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黄如波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2020-04-24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温市监企吊处字〔</w:t>
            </w:r>
            <w:r>
              <w:rPr>
                <w:rFonts w:hint="eastAsia" w:ascii="宋体" w:hAnsi="宋体" w:cs="宋体"/>
                <w:i w:val="0"/>
                <w:color w:val="000000"/>
                <w:kern w:val="0"/>
                <w:sz w:val="20"/>
                <w:szCs w:val="20"/>
                <w:u w:val="none"/>
                <w:lang w:val="en-US" w:eastAsia="zh-CN" w:bidi="ar"/>
              </w:rPr>
              <w:t>2024</w:t>
            </w:r>
            <w:r>
              <w:rPr>
                <w:rFonts w:hint="eastAsia" w:ascii="宋体" w:hAnsi="宋体" w:eastAsia="宋体" w:cs="宋体"/>
                <w:i w:val="0"/>
                <w:color w:val="000000"/>
                <w:kern w:val="0"/>
                <w:sz w:val="20"/>
                <w:szCs w:val="20"/>
                <w:u w:val="none"/>
                <w:lang w:val="en-US" w:eastAsia="zh-CN" w:bidi="ar"/>
              </w:rPr>
              <w:t>〕1-10</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号</w:t>
            </w:r>
          </w:p>
        </w:tc>
      </w:tr>
    </w:tbl>
    <w:p>
      <w:pPr>
        <w:rPr>
          <w:rFonts w:hint="eastAsia" w:ascii="宋体" w:hAnsi="宋体" w:eastAsia="宋体" w:cs="宋体"/>
          <w:i w:val="0"/>
          <w:color w:val="000000"/>
          <w:kern w:val="0"/>
          <w:sz w:val="20"/>
          <w:szCs w:val="20"/>
          <w:u w:val="none"/>
          <w:lang w:val="en-US" w:eastAsia="zh-CN" w:bidi="ar"/>
        </w:rPr>
      </w:pPr>
    </w:p>
    <w:p>
      <w:pP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备注：温州市美福餐饮有限公司洪殿分店于2024年4月12日完成了注销登记</w:t>
      </w:r>
    </w:p>
    <w:p>
      <w:pPr>
        <w:rPr>
          <w:rFonts w:hint="default"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14A4"/>
    <w:rsid w:val="0B1A65C7"/>
    <w:rsid w:val="1CFD1CCF"/>
    <w:rsid w:val="1FD72ECF"/>
    <w:rsid w:val="34DE470A"/>
    <w:rsid w:val="38152621"/>
    <w:rsid w:val="44CF590C"/>
    <w:rsid w:val="4A3F8313"/>
    <w:rsid w:val="52344355"/>
    <w:rsid w:val="556F0CBE"/>
    <w:rsid w:val="5AA051CC"/>
    <w:rsid w:val="5F8A4377"/>
    <w:rsid w:val="64FC0EB0"/>
    <w:rsid w:val="65AC5E0A"/>
    <w:rsid w:val="689E65C2"/>
    <w:rsid w:val="6B7F31ED"/>
    <w:rsid w:val="6C67436E"/>
    <w:rsid w:val="7467509F"/>
    <w:rsid w:val="757EFF3A"/>
    <w:rsid w:val="75E24214"/>
    <w:rsid w:val="777A2434"/>
    <w:rsid w:val="77F7200B"/>
    <w:rsid w:val="78DD20EC"/>
    <w:rsid w:val="7A00691E"/>
    <w:rsid w:val="7BEA7A75"/>
    <w:rsid w:val="7D29FFCA"/>
    <w:rsid w:val="7DFF62FC"/>
    <w:rsid w:val="7EDB2486"/>
    <w:rsid w:val="7FA22485"/>
    <w:rsid w:val="7FDE312C"/>
    <w:rsid w:val="7FEB664A"/>
    <w:rsid w:val="BFFFD2DD"/>
    <w:rsid w:val="CEF4AC26"/>
    <w:rsid w:val="DFFAA410"/>
    <w:rsid w:val="EF1DCBA3"/>
    <w:rsid w:val="F26DB47D"/>
    <w:rsid w:val="F4FE3EC5"/>
    <w:rsid w:val="F72B1B8A"/>
    <w:rsid w:val="FDE5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USER</dc:creator>
  <cp:lastModifiedBy>greatwall</cp:lastModifiedBy>
  <cp:lastPrinted>2024-04-26T00:53:00Z</cp:lastPrinted>
  <dcterms:modified xsi:type="dcterms:W3CDTF">2024-05-07T09:15:42Z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BEE30D4DC8EE49B2AB55E51B59D98558</vt:lpwstr>
  </property>
</Properties>
</file>